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1BD3" w14:textId="77777777" w:rsidR="00893745" w:rsidRPr="005A6CFD" w:rsidRDefault="00893745" w:rsidP="00AB0013">
      <w:pPr>
        <w:spacing w:after="0" w:line="240" w:lineRule="auto"/>
        <w:rPr>
          <w:rFonts w:asciiTheme="majorHAnsi" w:hAnsiTheme="majorHAnsi" w:cstheme="majorHAnsi"/>
          <w:b/>
          <w:bCs/>
          <w:sz w:val="28"/>
          <w:szCs w:val="28"/>
        </w:rPr>
      </w:pPr>
      <w:r w:rsidRPr="005A6CFD">
        <w:rPr>
          <w:rFonts w:asciiTheme="majorHAnsi" w:hAnsiTheme="majorHAnsi" w:cstheme="majorHAnsi"/>
          <w:b/>
          <w:bCs/>
          <w:sz w:val="28"/>
          <w:szCs w:val="28"/>
        </w:rPr>
        <w:t>TERM OF REFERENCE (TOR) FOR CONSULTANCY SERVICES</w:t>
      </w:r>
    </w:p>
    <w:p w14:paraId="095C23FB" w14:textId="77777777" w:rsidR="00893745" w:rsidRPr="00893745" w:rsidRDefault="00893745" w:rsidP="00AB0013">
      <w:pPr>
        <w:spacing w:after="0" w:line="240" w:lineRule="auto"/>
        <w:jc w:val="both"/>
        <w:rPr>
          <w:rFonts w:asciiTheme="majorHAnsi" w:hAnsiTheme="majorHAnsi" w:cstheme="majorHAnsi"/>
          <w:sz w:val="24"/>
          <w:szCs w:val="24"/>
        </w:rPr>
      </w:pPr>
    </w:p>
    <w:p w14:paraId="2EDCFBBF" w14:textId="2FF983EF" w:rsidR="00893745" w:rsidRPr="00893745" w:rsidRDefault="00893745" w:rsidP="00307430">
      <w:pPr>
        <w:spacing w:line="240" w:lineRule="auto"/>
        <w:ind w:left="2880" w:hanging="2880"/>
        <w:jc w:val="both"/>
        <w:rPr>
          <w:rFonts w:asciiTheme="majorHAnsi" w:hAnsiTheme="majorHAnsi" w:cstheme="majorHAnsi"/>
          <w:sz w:val="24"/>
          <w:szCs w:val="24"/>
        </w:rPr>
      </w:pPr>
      <w:r w:rsidRPr="00893745">
        <w:rPr>
          <w:rFonts w:asciiTheme="majorHAnsi" w:hAnsiTheme="majorHAnsi" w:cstheme="majorHAnsi"/>
          <w:sz w:val="24"/>
          <w:szCs w:val="24"/>
        </w:rPr>
        <w:t>Task/Assignment:</w:t>
      </w:r>
      <w:r w:rsidR="005A6CFD">
        <w:rPr>
          <w:rFonts w:asciiTheme="majorHAnsi" w:hAnsiTheme="majorHAnsi" w:cstheme="majorHAnsi"/>
          <w:sz w:val="24"/>
          <w:szCs w:val="24"/>
        </w:rPr>
        <w:t xml:space="preserve">                    </w:t>
      </w:r>
      <w:r w:rsidRPr="00893745">
        <w:rPr>
          <w:rFonts w:asciiTheme="majorHAnsi" w:hAnsiTheme="majorHAnsi" w:cstheme="majorHAnsi"/>
          <w:sz w:val="24"/>
          <w:szCs w:val="24"/>
        </w:rPr>
        <w:t xml:space="preserve">Environmental &amp; Social </w:t>
      </w:r>
      <w:r w:rsidR="005C6E7A">
        <w:rPr>
          <w:rFonts w:asciiTheme="majorHAnsi" w:hAnsiTheme="majorHAnsi" w:cstheme="majorHAnsi"/>
          <w:sz w:val="24"/>
          <w:szCs w:val="24"/>
        </w:rPr>
        <w:t>Risk</w:t>
      </w:r>
      <w:r w:rsidR="003727FD" w:rsidRPr="00893745">
        <w:rPr>
          <w:rFonts w:asciiTheme="majorHAnsi" w:hAnsiTheme="majorHAnsi" w:cstheme="majorHAnsi"/>
          <w:sz w:val="24"/>
          <w:szCs w:val="24"/>
        </w:rPr>
        <w:t xml:space="preserve"> </w:t>
      </w:r>
      <w:r w:rsidRPr="00893745">
        <w:rPr>
          <w:rFonts w:asciiTheme="majorHAnsi" w:hAnsiTheme="majorHAnsi" w:cstheme="majorHAnsi"/>
          <w:sz w:val="24"/>
          <w:szCs w:val="24"/>
        </w:rPr>
        <w:t xml:space="preserve">Assessment </w:t>
      </w:r>
    </w:p>
    <w:p w14:paraId="6EB2A4A0" w14:textId="5F8C44A9" w:rsidR="00893745" w:rsidRPr="00893745" w:rsidRDefault="00893745" w:rsidP="00307430">
      <w:pPr>
        <w:spacing w:line="240" w:lineRule="auto"/>
        <w:jc w:val="both"/>
        <w:rPr>
          <w:rFonts w:asciiTheme="majorHAnsi" w:hAnsiTheme="majorHAnsi" w:cstheme="majorHAnsi"/>
          <w:sz w:val="24"/>
          <w:szCs w:val="24"/>
        </w:rPr>
      </w:pPr>
      <w:r w:rsidRPr="00893745">
        <w:rPr>
          <w:rFonts w:asciiTheme="majorHAnsi" w:hAnsiTheme="majorHAnsi" w:cstheme="majorHAnsi"/>
          <w:sz w:val="24"/>
          <w:szCs w:val="24"/>
        </w:rPr>
        <w:t>Position/Level:</w:t>
      </w:r>
      <w:r w:rsidRPr="00893745">
        <w:rPr>
          <w:rFonts w:asciiTheme="majorHAnsi" w:hAnsiTheme="majorHAnsi" w:cstheme="majorHAnsi"/>
          <w:sz w:val="24"/>
          <w:szCs w:val="24"/>
        </w:rPr>
        <w:tab/>
      </w:r>
      <w:r w:rsidRPr="00893745">
        <w:rPr>
          <w:rFonts w:asciiTheme="majorHAnsi" w:hAnsiTheme="majorHAnsi" w:cstheme="majorHAnsi"/>
          <w:sz w:val="24"/>
          <w:szCs w:val="24"/>
        </w:rPr>
        <w:tab/>
        <w:t>International / Local Consultant</w:t>
      </w:r>
    </w:p>
    <w:p w14:paraId="566290F3" w14:textId="77777777" w:rsidR="00893745" w:rsidRPr="00893745" w:rsidRDefault="00893745" w:rsidP="00307430">
      <w:pPr>
        <w:spacing w:line="240" w:lineRule="auto"/>
        <w:jc w:val="both"/>
        <w:rPr>
          <w:rFonts w:asciiTheme="majorHAnsi" w:hAnsiTheme="majorHAnsi" w:cstheme="majorHAnsi"/>
          <w:sz w:val="24"/>
          <w:szCs w:val="24"/>
        </w:rPr>
      </w:pPr>
      <w:r w:rsidRPr="00893745">
        <w:rPr>
          <w:rFonts w:asciiTheme="majorHAnsi" w:hAnsiTheme="majorHAnsi" w:cstheme="majorHAnsi"/>
          <w:sz w:val="24"/>
          <w:szCs w:val="24"/>
        </w:rPr>
        <w:t>Location:</w:t>
      </w:r>
      <w:r w:rsidRPr="00893745">
        <w:rPr>
          <w:rFonts w:asciiTheme="majorHAnsi" w:hAnsiTheme="majorHAnsi" w:cstheme="majorHAnsi"/>
          <w:sz w:val="24"/>
          <w:szCs w:val="24"/>
        </w:rPr>
        <w:tab/>
      </w:r>
      <w:r w:rsidRPr="00893745">
        <w:rPr>
          <w:rFonts w:asciiTheme="majorHAnsi" w:hAnsiTheme="majorHAnsi" w:cstheme="majorHAnsi"/>
          <w:sz w:val="24"/>
          <w:szCs w:val="24"/>
        </w:rPr>
        <w:tab/>
      </w:r>
      <w:r w:rsidRPr="00893745">
        <w:rPr>
          <w:rFonts w:asciiTheme="majorHAnsi" w:hAnsiTheme="majorHAnsi" w:cstheme="majorHAnsi"/>
          <w:sz w:val="24"/>
          <w:szCs w:val="24"/>
        </w:rPr>
        <w:tab/>
        <w:t>Nigeria/West Africa</w:t>
      </w:r>
    </w:p>
    <w:p w14:paraId="1E5F99D0" w14:textId="1DFCA8F9" w:rsidR="00893745" w:rsidRPr="00893745" w:rsidRDefault="00893745" w:rsidP="00307430">
      <w:pPr>
        <w:spacing w:line="240" w:lineRule="auto"/>
        <w:jc w:val="both"/>
        <w:rPr>
          <w:rFonts w:asciiTheme="majorHAnsi" w:hAnsiTheme="majorHAnsi" w:cstheme="majorHAnsi"/>
          <w:sz w:val="24"/>
          <w:szCs w:val="24"/>
        </w:rPr>
      </w:pPr>
      <w:r w:rsidRPr="00893745">
        <w:rPr>
          <w:rFonts w:asciiTheme="majorHAnsi" w:hAnsiTheme="majorHAnsi" w:cstheme="majorHAnsi"/>
          <w:sz w:val="24"/>
          <w:szCs w:val="24"/>
        </w:rPr>
        <w:t>Timeframe:</w:t>
      </w:r>
      <w:r w:rsidRPr="00893745">
        <w:rPr>
          <w:rFonts w:asciiTheme="majorHAnsi" w:hAnsiTheme="majorHAnsi" w:cstheme="majorHAnsi"/>
          <w:sz w:val="24"/>
          <w:szCs w:val="24"/>
        </w:rPr>
        <w:tab/>
      </w:r>
      <w:r w:rsidRPr="00893745">
        <w:rPr>
          <w:rFonts w:asciiTheme="majorHAnsi" w:hAnsiTheme="majorHAnsi" w:cstheme="majorHAnsi"/>
          <w:sz w:val="24"/>
          <w:szCs w:val="24"/>
        </w:rPr>
        <w:tab/>
      </w:r>
      <w:r w:rsidRPr="00893745">
        <w:rPr>
          <w:rFonts w:asciiTheme="majorHAnsi" w:hAnsiTheme="majorHAnsi" w:cstheme="majorHAnsi"/>
          <w:sz w:val="24"/>
          <w:szCs w:val="24"/>
        </w:rPr>
        <w:tab/>
        <w:t xml:space="preserve">Report to be submitted by </w:t>
      </w:r>
      <w:r w:rsidR="00EE77C3">
        <w:rPr>
          <w:rFonts w:asciiTheme="majorHAnsi" w:hAnsiTheme="majorHAnsi" w:cstheme="majorHAnsi"/>
          <w:sz w:val="24"/>
          <w:szCs w:val="24"/>
        </w:rPr>
        <w:t>3</w:t>
      </w:r>
      <w:r w:rsidR="00CD7B0C">
        <w:rPr>
          <w:rFonts w:asciiTheme="majorHAnsi" w:hAnsiTheme="majorHAnsi" w:cstheme="majorHAnsi"/>
          <w:sz w:val="24"/>
          <w:szCs w:val="24"/>
        </w:rPr>
        <w:t>1</w:t>
      </w:r>
      <w:r w:rsidRPr="00893745">
        <w:rPr>
          <w:rFonts w:asciiTheme="majorHAnsi" w:hAnsiTheme="majorHAnsi" w:cstheme="majorHAnsi"/>
          <w:sz w:val="24"/>
          <w:szCs w:val="24"/>
        </w:rPr>
        <w:t>/0</w:t>
      </w:r>
      <w:r w:rsidR="003727FD">
        <w:rPr>
          <w:rFonts w:asciiTheme="majorHAnsi" w:hAnsiTheme="majorHAnsi" w:cstheme="majorHAnsi"/>
          <w:sz w:val="24"/>
          <w:szCs w:val="24"/>
        </w:rPr>
        <w:t>8</w:t>
      </w:r>
      <w:r w:rsidRPr="00893745">
        <w:rPr>
          <w:rFonts w:asciiTheme="majorHAnsi" w:hAnsiTheme="majorHAnsi" w:cstheme="majorHAnsi"/>
          <w:sz w:val="24"/>
          <w:szCs w:val="24"/>
        </w:rPr>
        <w:t>/2025</w:t>
      </w:r>
    </w:p>
    <w:p w14:paraId="549C8ABE" w14:textId="77777777" w:rsidR="00893745" w:rsidRPr="00893745" w:rsidRDefault="00893745" w:rsidP="005A6CFD">
      <w:pPr>
        <w:spacing w:after="0"/>
        <w:jc w:val="both"/>
        <w:rPr>
          <w:rFonts w:asciiTheme="majorHAnsi" w:hAnsiTheme="majorHAnsi" w:cstheme="majorHAnsi"/>
          <w:sz w:val="24"/>
          <w:szCs w:val="24"/>
        </w:rPr>
      </w:pPr>
    </w:p>
    <w:p w14:paraId="14836E1F" w14:textId="574EAA70" w:rsidR="00893745" w:rsidRPr="0037059D" w:rsidRDefault="00893745" w:rsidP="008916A4">
      <w:pPr>
        <w:pStyle w:val="ListParagraph"/>
        <w:numPr>
          <w:ilvl w:val="0"/>
          <w:numId w:val="30"/>
        </w:numPr>
        <w:tabs>
          <w:tab w:val="clear" w:pos="794"/>
        </w:tabs>
        <w:spacing w:after="0" w:line="360" w:lineRule="auto"/>
        <w:ind w:left="426" w:hanging="426"/>
        <w:contextualSpacing/>
        <w:jc w:val="both"/>
        <w:rPr>
          <w:rFonts w:asciiTheme="majorHAnsi" w:hAnsiTheme="majorHAnsi" w:cstheme="majorHAnsi"/>
          <w:b/>
          <w:bCs/>
          <w:sz w:val="24"/>
          <w:szCs w:val="24"/>
        </w:rPr>
      </w:pPr>
      <w:r w:rsidRPr="0037059D">
        <w:rPr>
          <w:rFonts w:asciiTheme="majorHAnsi" w:hAnsiTheme="majorHAnsi" w:cstheme="majorHAnsi"/>
          <w:b/>
          <w:bCs/>
          <w:sz w:val="24"/>
          <w:szCs w:val="24"/>
        </w:rPr>
        <w:t>ABOUT JOHNVENTS INDUSTRIES LTD (JVI)</w:t>
      </w:r>
    </w:p>
    <w:p w14:paraId="11245F99" w14:textId="77777777" w:rsidR="00893745" w:rsidRPr="00893745" w:rsidRDefault="00893745" w:rsidP="008916A4">
      <w:pPr>
        <w:spacing w:after="0" w:line="276" w:lineRule="auto"/>
        <w:jc w:val="both"/>
        <w:rPr>
          <w:rFonts w:asciiTheme="majorHAnsi" w:hAnsiTheme="majorHAnsi" w:cstheme="majorHAnsi"/>
          <w:iCs/>
          <w:sz w:val="24"/>
          <w:szCs w:val="24"/>
        </w:rPr>
      </w:pPr>
      <w:proofErr w:type="spellStart"/>
      <w:r w:rsidRPr="00893745">
        <w:rPr>
          <w:rFonts w:asciiTheme="majorHAnsi" w:hAnsiTheme="majorHAnsi" w:cstheme="majorHAnsi"/>
          <w:iCs/>
          <w:sz w:val="24"/>
          <w:szCs w:val="24"/>
        </w:rPr>
        <w:t>JohnVents</w:t>
      </w:r>
      <w:proofErr w:type="spellEnd"/>
      <w:r w:rsidRPr="00893745">
        <w:rPr>
          <w:rFonts w:asciiTheme="majorHAnsi" w:hAnsiTheme="majorHAnsi" w:cstheme="majorHAnsi"/>
          <w:iCs/>
          <w:sz w:val="24"/>
          <w:szCs w:val="24"/>
        </w:rPr>
        <w:t xml:space="preserve"> Industries Ltd (JVI) was incorporated in 2016 as a consulting and commodity trading company before venturing into farming through </w:t>
      </w:r>
      <w:proofErr w:type="spellStart"/>
      <w:r w:rsidRPr="00893745">
        <w:rPr>
          <w:rFonts w:asciiTheme="majorHAnsi" w:hAnsiTheme="majorHAnsi" w:cstheme="majorHAnsi"/>
          <w:iCs/>
          <w:sz w:val="24"/>
          <w:szCs w:val="24"/>
        </w:rPr>
        <w:t>JohnVents</w:t>
      </w:r>
      <w:proofErr w:type="spellEnd"/>
      <w:r w:rsidRPr="00893745">
        <w:rPr>
          <w:rFonts w:asciiTheme="majorHAnsi" w:hAnsiTheme="majorHAnsi" w:cstheme="majorHAnsi"/>
          <w:iCs/>
          <w:sz w:val="24"/>
          <w:szCs w:val="24"/>
        </w:rPr>
        <w:t xml:space="preserve"> Farms, then processing and manufacturing with the acquisition of two processing factories Coop Cocoa (Akure) and Premium Cocoa Products (Ile-</w:t>
      </w:r>
      <w:proofErr w:type="spellStart"/>
      <w:r w:rsidRPr="00893745">
        <w:rPr>
          <w:rFonts w:asciiTheme="majorHAnsi" w:hAnsiTheme="majorHAnsi" w:cstheme="majorHAnsi"/>
          <w:iCs/>
          <w:sz w:val="24"/>
          <w:szCs w:val="24"/>
        </w:rPr>
        <w:t>Oluji</w:t>
      </w:r>
      <w:proofErr w:type="spellEnd"/>
      <w:r w:rsidRPr="00893745">
        <w:rPr>
          <w:rFonts w:asciiTheme="majorHAnsi" w:hAnsiTheme="majorHAnsi" w:cstheme="majorHAnsi"/>
          <w:iCs/>
          <w:sz w:val="24"/>
          <w:szCs w:val="24"/>
        </w:rPr>
        <w:t>) in 2021 and 2023, respectively. JVI operates Coop Cocoa plant directly, aggregating and selling cocoa beans, processing and sale of cocoa powder, cake and butter.</w:t>
      </w:r>
    </w:p>
    <w:p w14:paraId="3B743D3C" w14:textId="77777777" w:rsidR="00893745" w:rsidRPr="00893745" w:rsidRDefault="00893745" w:rsidP="00893745">
      <w:pPr>
        <w:jc w:val="both"/>
        <w:rPr>
          <w:rFonts w:asciiTheme="majorHAnsi" w:hAnsiTheme="majorHAnsi" w:cstheme="majorHAnsi"/>
          <w:iCs/>
          <w:sz w:val="24"/>
          <w:szCs w:val="24"/>
        </w:rPr>
      </w:pPr>
      <w:proofErr w:type="spellStart"/>
      <w:r w:rsidRPr="00893745">
        <w:rPr>
          <w:rFonts w:asciiTheme="majorHAnsi" w:hAnsiTheme="majorHAnsi" w:cstheme="majorHAnsi"/>
          <w:iCs/>
          <w:sz w:val="24"/>
          <w:szCs w:val="24"/>
        </w:rPr>
        <w:t>JohnVents</w:t>
      </w:r>
      <w:proofErr w:type="spellEnd"/>
      <w:r w:rsidRPr="00893745">
        <w:rPr>
          <w:rFonts w:asciiTheme="majorHAnsi" w:hAnsiTheme="majorHAnsi" w:cstheme="majorHAnsi"/>
          <w:iCs/>
          <w:sz w:val="24"/>
          <w:szCs w:val="24"/>
        </w:rPr>
        <w:t xml:space="preserve"> Industries Ltd (JVI) focuses on cultivating, processing, and marketing sustainable cocoa products. With a mission to empower rural communities and support sustainable agriculture, JVI partners with smallholder farmers and </w:t>
      </w:r>
      <w:proofErr w:type="spellStart"/>
      <w:r w:rsidRPr="00893745">
        <w:rPr>
          <w:rFonts w:asciiTheme="majorHAnsi" w:hAnsiTheme="majorHAnsi" w:cstheme="majorHAnsi"/>
          <w:iCs/>
          <w:sz w:val="24"/>
          <w:szCs w:val="24"/>
        </w:rPr>
        <w:t>outgrowers</w:t>
      </w:r>
      <w:proofErr w:type="spellEnd"/>
      <w:r w:rsidRPr="00893745">
        <w:rPr>
          <w:rFonts w:asciiTheme="majorHAnsi" w:hAnsiTheme="majorHAnsi" w:cstheme="majorHAnsi"/>
          <w:iCs/>
          <w:sz w:val="24"/>
          <w:szCs w:val="24"/>
        </w:rPr>
        <w:t xml:space="preserve"> across Nigeria, integrating them into its cocoa value chain. JVI sources cocoa from its own plantations, contracted smallholders, and local cooperatives, ensuring responsible sourcing practices that drive positive economic and social impacts.</w:t>
      </w:r>
    </w:p>
    <w:p w14:paraId="755DF9AA" w14:textId="77777777" w:rsidR="00893745" w:rsidRPr="00893745" w:rsidRDefault="00893745" w:rsidP="00570F44">
      <w:pPr>
        <w:spacing w:after="0"/>
        <w:jc w:val="both"/>
        <w:rPr>
          <w:rFonts w:asciiTheme="majorHAnsi" w:hAnsiTheme="majorHAnsi" w:cstheme="majorHAnsi"/>
          <w:iCs/>
          <w:sz w:val="24"/>
          <w:szCs w:val="24"/>
        </w:rPr>
      </w:pPr>
      <w:r w:rsidRPr="00893745">
        <w:rPr>
          <w:rFonts w:asciiTheme="majorHAnsi" w:hAnsiTheme="majorHAnsi" w:cstheme="majorHAnsi"/>
          <w:sz w:val="24"/>
          <w:szCs w:val="24"/>
        </w:rPr>
        <w:t xml:space="preserve">For further information about JVI please visit: </w:t>
      </w:r>
      <w:hyperlink r:id="rId12" w:history="1">
        <w:r w:rsidRPr="00893745">
          <w:rPr>
            <w:rStyle w:val="Hyperlink"/>
            <w:rFonts w:asciiTheme="majorHAnsi" w:hAnsiTheme="majorHAnsi" w:cstheme="majorHAnsi"/>
            <w:sz w:val="24"/>
            <w:szCs w:val="24"/>
          </w:rPr>
          <w:t>www.johnvents.com</w:t>
        </w:r>
      </w:hyperlink>
      <w:r w:rsidRPr="00893745">
        <w:rPr>
          <w:rFonts w:asciiTheme="majorHAnsi" w:hAnsiTheme="majorHAnsi" w:cstheme="majorHAnsi"/>
          <w:sz w:val="24"/>
          <w:szCs w:val="24"/>
        </w:rPr>
        <w:t xml:space="preserve"> </w:t>
      </w:r>
    </w:p>
    <w:p w14:paraId="313FEAEA" w14:textId="77777777" w:rsidR="00893745" w:rsidRPr="00893745" w:rsidRDefault="00893745" w:rsidP="00570F44">
      <w:pPr>
        <w:spacing w:after="0"/>
        <w:jc w:val="both"/>
        <w:rPr>
          <w:rFonts w:asciiTheme="majorHAnsi" w:hAnsiTheme="majorHAnsi" w:cstheme="majorHAnsi"/>
          <w:sz w:val="24"/>
          <w:szCs w:val="24"/>
        </w:rPr>
      </w:pPr>
    </w:p>
    <w:p w14:paraId="7C23EC18" w14:textId="30EA8A35" w:rsidR="00893745" w:rsidRPr="0037059D" w:rsidRDefault="0037059D" w:rsidP="008916A4">
      <w:pPr>
        <w:pStyle w:val="ListParagraph"/>
        <w:numPr>
          <w:ilvl w:val="0"/>
          <w:numId w:val="30"/>
        </w:numPr>
        <w:tabs>
          <w:tab w:val="clear" w:pos="794"/>
          <w:tab w:val="left" w:pos="426"/>
        </w:tabs>
        <w:spacing w:after="0" w:line="360" w:lineRule="auto"/>
        <w:ind w:left="426" w:hanging="426"/>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00893745" w:rsidRPr="0037059D">
        <w:rPr>
          <w:rFonts w:asciiTheme="majorHAnsi" w:hAnsiTheme="majorHAnsi" w:cstheme="majorHAnsi"/>
          <w:b/>
          <w:bCs/>
          <w:sz w:val="24"/>
          <w:szCs w:val="24"/>
        </w:rPr>
        <w:t>PROJECT BACKGROUND</w:t>
      </w:r>
    </w:p>
    <w:p w14:paraId="092553CD" w14:textId="77777777" w:rsidR="00893745" w:rsidRDefault="00893745" w:rsidP="008916A4">
      <w:pPr>
        <w:spacing w:after="0"/>
        <w:jc w:val="both"/>
      </w:pPr>
      <w:r w:rsidRPr="00893745">
        <w:rPr>
          <w:rFonts w:asciiTheme="majorHAnsi" w:hAnsiTheme="majorHAnsi" w:cstheme="majorHAnsi"/>
          <w:sz w:val="24"/>
          <w:szCs w:val="24"/>
        </w:rPr>
        <w:t xml:space="preserve">The Dutch Fund for Climate and Development (DFCD) enables private sector investment in projects aimed at climate adaptation and mitigation in developing countries. The Dutch Ministry of Foreign Affairs has made available €160 million to increase the resilience of communities and ecosystems most vulnerable to climate change. The DFCD is managed by a pioneering consortium of Climate Fund Managers (CFM), Worldwide Fund for Nature Netherlands (WWF-NL) and SNV Netherlands Development Organisation, led by the Dutch Entrepreneurial Development Bank, FMO. For more information, please visit: </w:t>
      </w:r>
      <w:hyperlink r:id="rId13" w:history="1">
        <w:r w:rsidRPr="00893745">
          <w:rPr>
            <w:rStyle w:val="Hyperlink"/>
            <w:rFonts w:asciiTheme="majorHAnsi" w:hAnsiTheme="majorHAnsi" w:cstheme="majorHAnsi"/>
            <w:sz w:val="24"/>
            <w:szCs w:val="24"/>
          </w:rPr>
          <w:t>www.thedfcd.com</w:t>
        </w:r>
      </w:hyperlink>
    </w:p>
    <w:p w14:paraId="204DD4CF" w14:textId="77777777" w:rsidR="008916A4" w:rsidRPr="00893745" w:rsidRDefault="008916A4" w:rsidP="008916A4">
      <w:pPr>
        <w:spacing w:after="0" w:line="240" w:lineRule="auto"/>
        <w:jc w:val="both"/>
        <w:rPr>
          <w:rFonts w:asciiTheme="majorHAnsi" w:hAnsiTheme="majorHAnsi" w:cstheme="majorHAnsi"/>
          <w:sz w:val="24"/>
          <w:szCs w:val="24"/>
        </w:rPr>
      </w:pPr>
    </w:p>
    <w:p w14:paraId="780C9558" w14:textId="77777777" w:rsidR="00893745" w:rsidRPr="00893745" w:rsidRDefault="00893745" w:rsidP="00893745">
      <w:pPr>
        <w:jc w:val="both"/>
        <w:rPr>
          <w:rFonts w:asciiTheme="majorHAnsi" w:hAnsiTheme="majorHAnsi" w:cstheme="majorHAnsi"/>
          <w:sz w:val="24"/>
          <w:szCs w:val="24"/>
        </w:rPr>
      </w:pPr>
      <w:proofErr w:type="spellStart"/>
      <w:r w:rsidRPr="00893745">
        <w:rPr>
          <w:rFonts w:asciiTheme="majorHAnsi" w:hAnsiTheme="majorHAnsi" w:cstheme="majorHAnsi"/>
          <w:sz w:val="24"/>
          <w:szCs w:val="24"/>
        </w:rPr>
        <w:t>JohnVents</w:t>
      </w:r>
      <w:proofErr w:type="spellEnd"/>
      <w:r w:rsidRPr="00893745">
        <w:rPr>
          <w:rFonts w:asciiTheme="majorHAnsi" w:hAnsiTheme="majorHAnsi" w:cstheme="majorHAnsi"/>
          <w:sz w:val="24"/>
          <w:szCs w:val="24"/>
        </w:rPr>
        <w:t xml:space="preserve"> Industries Ltd (JVI) is a rapidly growing agribusiness committed to advancing sustainable cocoa production in Nigeria. The company has developed a strategic expansion plan aimed at scaling up the adoption of climate-resilient and sustainable cocoa agroforestry among smallholder farmers within its supply chain in south-west and south-south region of Nigeria. This initiative aligns with JVI’s long-term sustainability commitments, which include improving farmer incomes, enhancing biodiversity, and reducing environmental risks in the cocoa value chain.</w:t>
      </w:r>
    </w:p>
    <w:p w14:paraId="15CA41D0" w14:textId="74009FEE" w:rsidR="00893745" w:rsidRPr="00893745" w:rsidRDefault="00893745" w:rsidP="00893745">
      <w:pPr>
        <w:jc w:val="both"/>
        <w:rPr>
          <w:rFonts w:asciiTheme="majorHAnsi" w:hAnsiTheme="majorHAnsi" w:cstheme="majorHAnsi"/>
          <w:sz w:val="24"/>
          <w:szCs w:val="24"/>
        </w:rPr>
      </w:pPr>
      <w:r w:rsidRPr="00893745">
        <w:rPr>
          <w:rFonts w:asciiTheme="majorHAnsi" w:hAnsiTheme="majorHAnsi" w:cstheme="majorHAnsi"/>
          <w:sz w:val="24"/>
          <w:szCs w:val="24"/>
        </w:rPr>
        <w:lastRenderedPageBreak/>
        <w:t xml:space="preserve">The Dutch Fund for Climate and Development (DFCD) is supporting this initiative through an Origination Facility, which provides funding for early-stage activities that will de-risk the investment and prepare JVI for further financing under the DFCD Land Use Facility. The Origination Facility will enable JVI to conduct environmental and social (E&amp;S) risk assessments, </w:t>
      </w:r>
      <w:r w:rsidR="00E101A8">
        <w:rPr>
          <w:rFonts w:asciiTheme="majorHAnsi" w:hAnsiTheme="majorHAnsi" w:cstheme="majorHAnsi"/>
          <w:sz w:val="24"/>
          <w:szCs w:val="24"/>
        </w:rPr>
        <w:t xml:space="preserve">with the aim of enhancing environmental governance and management </w:t>
      </w:r>
      <w:r w:rsidRPr="00893745">
        <w:rPr>
          <w:rFonts w:asciiTheme="majorHAnsi" w:hAnsiTheme="majorHAnsi" w:cstheme="majorHAnsi"/>
          <w:sz w:val="24"/>
          <w:szCs w:val="24"/>
        </w:rPr>
        <w:t>plan</w:t>
      </w:r>
      <w:r w:rsidR="00E101A8">
        <w:rPr>
          <w:rFonts w:asciiTheme="majorHAnsi" w:hAnsiTheme="majorHAnsi" w:cstheme="majorHAnsi"/>
          <w:sz w:val="24"/>
          <w:szCs w:val="24"/>
        </w:rPr>
        <w:t>s</w:t>
      </w:r>
      <w:r w:rsidRPr="00893745">
        <w:rPr>
          <w:rFonts w:asciiTheme="majorHAnsi" w:hAnsiTheme="majorHAnsi" w:cstheme="majorHAnsi"/>
          <w:sz w:val="24"/>
          <w:szCs w:val="24"/>
        </w:rPr>
        <w:t xml:space="preserve"> to ensure that cocoa expansion is both sustainable and inclusive​.</w:t>
      </w:r>
    </w:p>
    <w:p w14:paraId="0B4B9152" w14:textId="77777777" w:rsidR="00893745" w:rsidRPr="00893745" w:rsidRDefault="00893745" w:rsidP="00893745">
      <w:pPr>
        <w:jc w:val="both"/>
        <w:rPr>
          <w:rFonts w:asciiTheme="majorHAnsi" w:hAnsiTheme="majorHAnsi" w:cstheme="majorHAnsi"/>
          <w:sz w:val="24"/>
          <w:szCs w:val="24"/>
        </w:rPr>
      </w:pPr>
      <w:r w:rsidRPr="00893745">
        <w:rPr>
          <w:rFonts w:asciiTheme="majorHAnsi" w:hAnsiTheme="majorHAnsi" w:cstheme="majorHAnsi"/>
          <w:sz w:val="24"/>
          <w:szCs w:val="24"/>
        </w:rPr>
        <w:t>This investment will also complement financing from the International Finance Corporation (IFC), which approved a €21.3 million facility for JVI in December 2023. The IFC financing primarily supports factory upgrades and working capital needs, whereas the DFCD Origination Facility focuses on strengthening JVI’s supply chain resilience and smallholder engagement. The DFCD funding is particularly important in addressing climate adaptation challenges such as unpredictable rainfall patterns, deforestation risks, and the need for climate-smart cocoa production​.</w:t>
      </w:r>
    </w:p>
    <w:p w14:paraId="6D12B893" w14:textId="77777777" w:rsidR="00893745" w:rsidRPr="00893745" w:rsidRDefault="00893745" w:rsidP="00893745">
      <w:pPr>
        <w:jc w:val="both"/>
        <w:rPr>
          <w:rFonts w:asciiTheme="majorHAnsi" w:hAnsiTheme="majorHAnsi" w:cstheme="majorHAnsi"/>
          <w:sz w:val="24"/>
          <w:szCs w:val="24"/>
        </w:rPr>
      </w:pPr>
      <w:r w:rsidRPr="00893745">
        <w:rPr>
          <w:rFonts w:asciiTheme="majorHAnsi" w:hAnsiTheme="majorHAnsi" w:cstheme="majorHAnsi"/>
          <w:sz w:val="24"/>
          <w:szCs w:val="24"/>
        </w:rPr>
        <w:t>Through this initiative, JVI aims to:</w:t>
      </w:r>
    </w:p>
    <w:p w14:paraId="023FCBAE" w14:textId="77777777" w:rsidR="00893745" w:rsidRPr="00893745" w:rsidRDefault="00893745" w:rsidP="00893745">
      <w:pPr>
        <w:pStyle w:val="ListParagraph"/>
        <w:numPr>
          <w:ilvl w:val="0"/>
          <w:numId w:val="29"/>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Expand its nucleus cocoa plantation and introduce agroforestry to promote climate-resilient cocoa production.</w:t>
      </w:r>
    </w:p>
    <w:p w14:paraId="64757174" w14:textId="2F2B8ABD" w:rsidR="00893745" w:rsidRPr="00893745" w:rsidRDefault="00893745" w:rsidP="00893745">
      <w:pPr>
        <w:pStyle w:val="ListParagraph"/>
        <w:numPr>
          <w:ilvl w:val="0"/>
          <w:numId w:val="29"/>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Increase the number of out</w:t>
      </w:r>
      <w:r w:rsidR="00E062CF">
        <w:rPr>
          <w:rFonts w:asciiTheme="majorHAnsi" w:hAnsiTheme="majorHAnsi" w:cstheme="majorHAnsi"/>
          <w:sz w:val="24"/>
          <w:szCs w:val="24"/>
        </w:rPr>
        <w:t>-</w:t>
      </w:r>
      <w:r w:rsidRPr="00893745">
        <w:rPr>
          <w:rFonts w:asciiTheme="majorHAnsi" w:hAnsiTheme="majorHAnsi" w:cstheme="majorHAnsi"/>
          <w:sz w:val="24"/>
          <w:szCs w:val="24"/>
        </w:rPr>
        <w:t>growers and in</w:t>
      </w:r>
      <w:r w:rsidR="00E062CF">
        <w:rPr>
          <w:rFonts w:asciiTheme="majorHAnsi" w:hAnsiTheme="majorHAnsi" w:cstheme="majorHAnsi"/>
          <w:sz w:val="24"/>
          <w:szCs w:val="24"/>
        </w:rPr>
        <w:t>-</w:t>
      </w:r>
      <w:r w:rsidRPr="00893745">
        <w:rPr>
          <w:rFonts w:asciiTheme="majorHAnsi" w:hAnsiTheme="majorHAnsi" w:cstheme="majorHAnsi"/>
          <w:sz w:val="24"/>
          <w:szCs w:val="24"/>
        </w:rPr>
        <w:t>grower farmers, integrating smallholders—particularly women, youth, and vulnerable groups—into the supply chain.</w:t>
      </w:r>
    </w:p>
    <w:p w14:paraId="088E6589" w14:textId="613D5580" w:rsidR="00893745" w:rsidRPr="00893745" w:rsidRDefault="00893745" w:rsidP="00893745">
      <w:pPr>
        <w:pStyle w:val="ListParagraph"/>
        <w:numPr>
          <w:ilvl w:val="0"/>
          <w:numId w:val="29"/>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Conduct E&amp;S assessments to identify risks, enhance governance, and develop mitigation strategies for sustainable operations.</w:t>
      </w:r>
    </w:p>
    <w:p w14:paraId="59D9DC96" w14:textId="10E62320" w:rsidR="00893745" w:rsidRPr="00893745" w:rsidRDefault="00893745" w:rsidP="00893745">
      <w:pPr>
        <w:pStyle w:val="ListParagraph"/>
        <w:numPr>
          <w:ilvl w:val="0"/>
          <w:numId w:val="29"/>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Ensure compliance with IFC Performance Standards, EU Deforestation Regulation (EUDR), and sustainability best practices to maintain market access in Europe and the USA</w:t>
      </w:r>
      <w:r>
        <w:rPr>
          <w:rFonts w:asciiTheme="majorHAnsi" w:hAnsiTheme="majorHAnsi" w:cstheme="majorHAnsi"/>
          <w:sz w:val="24"/>
          <w:szCs w:val="24"/>
        </w:rPr>
        <w:t>.</w:t>
      </w:r>
    </w:p>
    <w:p w14:paraId="15F03997" w14:textId="43DBB75E" w:rsidR="00893745" w:rsidRPr="00893745" w:rsidRDefault="00893745" w:rsidP="00E62591">
      <w:pPr>
        <w:spacing w:after="0"/>
        <w:jc w:val="both"/>
        <w:rPr>
          <w:rFonts w:asciiTheme="majorHAnsi" w:hAnsiTheme="majorHAnsi" w:cstheme="majorHAnsi"/>
          <w:sz w:val="24"/>
          <w:szCs w:val="24"/>
        </w:rPr>
      </w:pPr>
      <w:r w:rsidRPr="00893745">
        <w:rPr>
          <w:rFonts w:asciiTheme="majorHAnsi" w:hAnsiTheme="majorHAnsi" w:cstheme="majorHAnsi"/>
          <w:sz w:val="24"/>
          <w:szCs w:val="24"/>
        </w:rPr>
        <w:t xml:space="preserve">The Dutch Fund for Climate and Development (DFCD) Origination Facility approved a grant through SNV to provide a technical assistance package for </w:t>
      </w:r>
      <w:proofErr w:type="spellStart"/>
      <w:r w:rsidRPr="00893745">
        <w:rPr>
          <w:rFonts w:asciiTheme="majorHAnsi" w:hAnsiTheme="majorHAnsi" w:cstheme="majorHAnsi"/>
          <w:sz w:val="24"/>
          <w:szCs w:val="24"/>
        </w:rPr>
        <w:t>JohnVents</w:t>
      </w:r>
      <w:proofErr w:type="spellEnd"/>
      <w:r w:rsidRPr="00893745">
        <w:rPr>
          <w:rFonts w:asciiTheme="majorHAnsi" w:hAnsiTheme="majorHAnsi" w:cstheme="majorHAnsi"/>
          <w:sz w:val="24"/>
          <w:szCs w:val="24"/>
        </w:rPr>
        <w:t xml:space="preserve"> Industries Ltd. which will allow JVI to undertake comprehensive Environmental, Social and Governance (ESG) assessments</w:t>
      </w:r>
      <w:r w:rsidR="00596B6E">
        <w:rPr>
          <w:rFonts w:asciiTheme="majorHAnsi" w:hAnsiTheme="majorHAnsi" w:cstheme="majorHAnsi"/>
          <w:sz w:val="24"/>
          <w:szCs w:val="24"/>
        </w:rPr>
        <w:t xml:space="preserve">, </w:t>
      </w:r>
      <w:r w:rsidRPr="00893745">
        <w:rPr>
          <w:rFonts w:asciiTheme="majorHAnsi" w:hAnsiTheme="majorHAnsi" w:cstheme="majorHAnsi"/>
          <w:sz w:val="24"/>
          <w:szCs w:val="24"/>
        </w:rPr>
        <w:t xml:space="preserve">with a focus on the backward integration operations carry out preliminary Environmental and Social (E&amp;S) risks/safeguards assessments, prepare a stakeholder engagement plan and make recommendations for </w:t>
      </w:r>
      <w:r w:rsidR="00596B6E" w:rsidRPr="00893745">
        <w:rPr>
          <w:rFonts w:asciiTheme="majorHAnsi" w:hAnsiTheme="majorHAnsi" w:cstheme="majorHAnsi"/>
          <w:sz w:val="24"/>
          <w:szCs w:val="24"/>
        </w:rPr>
        <w:t>action.</w:t>
      </w:r>
      <w:r w:rsidRPr="00893745">
        <w:rPr>
          <w:rFonts w:asciiTheme="majorHAnsi" w:hAnsiTheme="majorHAnsi" w:cstheme="majorHAnsi"/>
          <w:sz w:val="24"/>
          <w:szCs w:val="24"/>
        </w:rPr>
        <w:t xml:space="preserve"> </w:t>
      </w:r>
    </w:p>
    <w:p w14:paraId="3BDE1A31" w14:textId="77777777" w:rsidR="00893745" w:rsidRPr="00893745" w:rsidRDefault="00893745" w:rsidP="00E62591">
      <w:pPr>
        <w:spacing w:after="0" w:line="240" w:lineRule="auto"/>
        <w:jc w:val="both"/>
        <w:rPr>
          <w:rFonts w:asciiTheme="majorHAnsi" w:hAnsiTheme="majorHAnsi" w:cstheme="majorHAnsi"/>
          <w:sz w:val="24"/>
          <w:szCs w:val="24"/>
        </w:rPr>
      </w:pPr>
    </w:p>
    <w:p w14:paraId="529F9674" w14:textId="67A2DC8D" w:rsidR="00893745" w:rsidRPr="0037059D" w:rsidRDefault="00893745" w:rsidP="008916A4">
      <w:pPr>
        <w:pStyle w:val="ListParagraph"/>
        <w:numPr>
          <w:ilvl w:val="0"/>
          <w:numId w:val="30"/>
        </w:numPr>
        <w:tabs>
          <w:tab w:val="clear" w:pos="794"/>
          <w:tab w:val="left" w:pos="567"/>
        </w:tabs>
        <w:spacing w:after="0" w:line="276" w:lineRule="auto"/>
        <w:ind w:left="426" w:hanging="426"/>
        <w:jc w:val="both"/>
        <w:rPr>
          <w:rFonts w:asciiTheme="majorHAnsi" w:hAnsiTheme="majorHAnsi" w:cstheme="majorHAnsi"/>
          <w:b/>
          <w:bCs/>
          <w:sz w:val="24"/>
          <w:szCs w:val="24"/>
        </w:rPr>
      </w:pPr>
      <w:r w:rsidRPr="0037059D">
        <w:rPr>
          <w:rFonts w:asciiTheme="majorHAnsi" w:hAnsiTheme="majorHAnsi" w:cstheme="majorHAnsi"/>
          <w:b/>
          <w:bCs/>
          <w:sz w:val="24"/>
          <w:szCs w:val="24"/>
        </w:rPr>
        <w:t>Assignment Objectives:</w:t>
      </w:r>
    </w:p>
    <w:p w14:paraId="4F5BB303" w14:textId="523D9C1F" w:rsidR="00893745" w:rsidRPr="00893745" w:rsidRDefault="00893745" w:rsidP="00D67D3D">
      <w:pPr>
        <w:jc w:val="both"/>
        <w:rPr>
          <w:rFonts w:asciiTheme="majorHAnsi" w:hAnsiTheme="majorHAnsi" w:cstheme="majorHAnsi"/>
          <w:sz w:val="24"/>
          <w:szCs w:val="24"/>
        </w:rPr>
      </w:pPr>
      <w:r w:rsidRPr="00893745">
        <w:rPr>
          <w:rFonts w:asciiTheme="majorHAnsi" w:hAnsiTheme="majorHAnsi" w:cstheme="majorHAnsi"/>
          <w:sz w:val="24"/>
          <w:szCs w:val="24"/>
        </w:rPr>
        <w:t xml:space="preserve">JVI is committed to promoting sustainability across its operations, ensuring food security, improving farmer livelihoods, and fostering healthy ecosystems. The company envisions an agricultural landscape where sustainable farming practices positively empower smallholder farmers while maintaining environmental integrity. Through this initiative, JVI integrates responsible farming, and ecosystem restoration to enhance resilience and productivity in cocoa farming communities. In addition to JVI’s own sustainability commitments and policies, the company exports its cocoa products, including to the EU. Given concerns over deforestation risks as well as other environmental and social issues in the sector, cocoa is one of the commodities that will be subject to the EUDR when it comes into force. Thus, the </w:t>
      </w:r>
      <w:r w:rsidRPr="00893745">
        <w:rPr>
          <w:rFonts w:asciiTheme="majorHAnsi" w:hAnsiTheme="majorHAnsi" w:cstheme="majorHAnsi"/>
          <w:sz w:val="24"/>
          <w:szCs w:val="24"/>
        </w:rPr>
        <w:lastRenderedPageBreak/>
        <w:t>company must implement robust traceability and sustainability measures from the perspective of ensuring JVI meets market compliance requirements. This includes monitoring land use to prevent deforestation, enhancing supply chain transparency, and ensuring compliance with ethical sourcing standards. Strengthening JVI’s Environmental and Social Management System (ESMS) and adopting agroforestry practices will be crucial in maintaining access to EU markets and aligning with international sustainability benchmarks. The origination grant from the DFCD will support JVI to examine E&amp;S risks/safeguards issues in its supply chain and outline strategies to avoid, manage and minimise these risks. The consultant will conduct a preliminary E&amp;S risks/safeguards of JVI’s backward integration operations, policies, and sourcing model to:</w:t>
      </w:r>
    </w:p>
    <w:p w14:paraId="0BEF4FE3" w14:textId="77777777" w:rsidR="00893745" w:rsidRPr="00893745" w:rsidRDefault="00893745" w:rsidP="0037059D">
      <w:pPr>
        <w:pStyle w:val="ListParagraph"/>
        <w:numPr>
          <w:ilvl w:val="0"/>
          <w:numId w:val="36"/>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Identify and manage potential E&amp;S risks associated with JVI’s cocoa sourcing.</w:t>
      </w:r>
    </w:p>
    <w:p w14:paraId="76D86A1D" w14:textId="264DE711" w:rsidR="00893745" w:rsidRPr="00893745" w:rsidRDefault="00893745" w:rsidP="0037059D">
      <w:pPr>
        <w:pStyle w:val="ListParagraph"/>
        <w:numPr>
          <w:ilvl w:val="0"/>
          <w:numId w:val="36"/>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Develop strategies </w:t>
      </w:r>
      <w:r w:rsidR="00FA5DE6">
        <w:rPr>
          <w:rFonts w:asciiTheme="majorHAnsi" w:hAnsiTheme="majorHAnsi" w:cstheme="majorHAnsi"/>
          <w:sz w:val="24"/>
          <w:szCs w:val="24"/>
        </w:rPr>
        <w:t>and action plans</w:t>
      </w:r>
      <w:r w:rsidR="00137E77">
        <w:rPr>
          <w:rFonts w:asciiTheme="majorHAnsi" w:hAnsiTheme="majorHAnsi" w:cstheme="majorHAnsi"/>
          <w:sz w:val="24"/>
          <w:szCs w:val="24"/>
        </w:rPr>
        <w:t xml:space="preserve"> to address identified E&amp;S risk and enhance the company’s sustainability </w:t>
      </w:r>
      <w:r w:rsidR="00E90C7E">
        <w:rPr>
          <w:rFonts w:asciiTheme="majorHAnsi" w:hAnsiTheme="majorHAnsi" w:cstheme="majorHAnsi"/>
          <w:sz w:val="24"/>
          <w:szCs w:val="24"/>
        </w:rPr>
        <w:t>and resilience to climate change impacts.</w:t>
      </w:r>
    </w:p>
    <w:p w14:paraId="676BD2A5" w14:textId="77777777" w:rsidR="00893745" w:rsidRDefault="00893745" w:rsidP="00A90EE7">
      <w:pPr>
        <w:pStyle w:val="ListParagraph"/>
        <w:numPr>
          <w:ilvl w:val="0"/>
          <w:numId w:val="36"/>
        </w:numPr>
        <w:tabs>
          <w:tab w:val="clear" w:pos="0"/>
          <w:tab w:val="clear" w:pos="794"/>
          <w:tab w:val="clear" w:pos="1588"/>
          <w:tab w:val="clear" w:pos="2381"/>
          <w:tab w:val="clear" w:pos="3175"/>
          <w:tab w:val="clear" w:pos="3969"/>
          <w:tab w:val="clear" w:pos="4763"/>
          <w:tab w:val="clear" w:pos="5557"/>
          <w:tab w:val="clear" w:pos="6350"/>
          <w:tab w:val="clear" w:pos="7144"/>
        </w:tabs>
        <w:spacing w:before="240" w:after="0" w:line="240"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Provide recommendations for compliance with IFC Performance Standards, and sustainability best practices.</w:t>
      </w:r>
    </w:p>
    <w:p w14:paraId="36301AFC" w14:textId="77777777" w:rsidR="0037059D" w:rsidRPr="00893745" w:rsidRDefault="0037059D" w:rsidP="00A90EE7">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720"/>
        <w:contextualSpacing/>
        <w:jc w:val="both"/>
        <w:rPr>
          <w:rFonts w:asciiTheme="majorHAnsi" w:hAnsiTheme="majorHAnsi" w:cstheme="majorHAnsi"/>
          <w:sz w:val="24"/>
          <w:szCs w:val="24"/>
        </w:rPr>
      </w:pPr>
    </w:p>
    <w:p w14:paraId="2E7CE460" w14:textId="596582D4" w:rsidR="00893745" w:rsidRPr="00893745" w:rsidRDefault="0037059D" w:rsidP="000A4482">
      <w:pPr>
        <w:spacing w:after="0" w:line="276" w:lineRule="auto"/>
        <w:ind w:left="709" w:hanging="709"/>
        <w:jc w:val="both"/>
        <w:rPr>
          <w:rFonts w:asciiTheme="majorHAnsi" w:hAnsiTheme="majorHAnsi" w:cstheme="majorHAnsi"/>
          <w:b/>
          <w:bCs/>
          <w:sz w:val="24"/>
          <w:szCs w:val="24"/>
        </w:rPr>
      </w:pPr>
      <w:r>
        <w:rPr>
          <w:rFonts w:asciiTheme="majorHAnsi" w:hAnsiTheme="majorHAnsi" w:cstheme="majorHAnsi"/>
          <w:b/>
          <w:bCs/>
          <w:sz w:val="24"/>
          <w:szCs w:val="24"/>
        </w:rPr>
        <w:t xml:space="preserve">4.     </w:t>
      </w:r>
      <w:r w:rsidR="00893745" w:rsidRPr="00893745">
        <w:rPr>
          <w:rFonts w:asciiTheme="majorHAnsi" w:hAnsiTheme="majorHAnsi" w:cstheme="majorHAnsi"/>
          <w:b/>
          <w:bCs/>
          <w:sz w:val="24"/>
          <w:szCs w:val="24"/>
        </w:rPr>
        <w:t>Scope of Work</w:t>
      </w:r>
    </w:p>
    <w:p w14:paraId="085207F3" w14:textId="77777777" w:rsidR="00893745" w:rsidRPr="00893745" w:rsidRDefault="00893745" w:rsidP="000A4482">
      <w:pPr>
        <w:spacing w:after="0" w:line="360" w:lineRule="auto"/>
        <w:jc w:val="both"/>
        <w:rPr>
          <w:rFonts w:asciiTheme="majorHAnsi" w:hAnsiTheme="majorHAnsi" w:cstheme="majorHAnsi"/>
          <w:sz w:val="24"/>
          <w:szCs w:val="24"/>
          <w:lang w:val="en-US"/>
        </w:rPr>
      </w:pPr>
      <w:r w:rsidRPr="00893745">
        <w:rPr>
          <w:rFonts w:asciiTheme="majorHAnsi" w:hAnsiTheme="majorHAnsi" w:cstheme="majorHAnsi"/>
          <w:sz w:val="24"/>
          <w:szCs w:val="24"/>
          <w:lang w:val="en-US"/>
        </w:rPr>
        <w:t>a. E&amp;S Safeguards Assessment</w:t>
      </w:r>
    </w:p>
    <w:p w14:paraId="4E07BD48" w14:textId="77777777"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Review JVI’s Environmental and Social Management System (ESMS) and E&amp;S policies against IFC Performance Standards, and national legality requirements and FMO sustainability for adequacy in managing potential E&amp;S risks and impacts arising from its cocoa sourcing supply chain.</w:t>
      </w:r>
    </w:p>
    <w:p w14:paraId="19F5625A" w14:textId="77777777"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Conduct a baseline biophysical assessment to understand, describe and map environmental conditions of JVI’s targeted cocoa production supply-sheds, including topography, land cover, and areas of high conservation value.</w:t>
      </w:r>
    </w:p>
    <w:p w14:paraId="75CADF73" w14:textId="6BF84638"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Conduct a baseline socio-economic assessment to better understand the socio-economic context and livelihoods of cocoa farming communities and develop a social profile of JVI’s targeted supply-shed areas</w:t>
      </w:r>
      <w:r w:rsidR="009F7A57">
        <w:rPr>
          <w:rFonts w:asciiTheme="majorHAnsi" w:hAnsiTheme="majorHAnsi" w:cstheme="majorHAnsi"/>
          <w:sz w:val="24"/>
          <w:szCs w:val="24"/>
        </w:rPr>
        <w:t>.</w:t>
      </w:r>
      <w:r w:rsidRPr="00893745">
        <w:rPr>
          <w:rFonts w:asciiTheme="majorHAnsi" w:hAnsiTheme="majorHAnsi" w:cstheme="majorHAnsi"/>
          <w:sz w:val="24"/>
          <w:szCs w:val="24"/>
        </w:rPr>
        <w:t xml:space="preserve"> </w:t>
      </w:r>
    </w:p>
    <w:p w14:paraId="02EB26EF" w14:textId="77777777"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Identify and assess potential E&amp;S risks associated with JVI's proposed climate-resilient cocoa farming expansion project.</w:t>
      </w:r>
    </w:p>
    <w:p w14:paraId="12413E86" w14:textId="77777777"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Assess potential E&amp;S risk and impacts and opportunities of integrating agroforestry into cocoa farming, focusing on biodiversity, production increases, and climate resilience for smallholder farmers.</w:t>
      </w:r>
    </w:p>
    <w:p w14:paraId="6C0847C9" w14:textId="750916C4" w:rsidR="00893745" w:rsidRPr="00893745" w:rsidRDefault="00893745" w:rsidP="0037059D">
      <w:pPr>
        <w:pStyle w:val="ListParagraph"/>
        <w:numPr>
          <w:ilvl w:val="0"/>
          <w:numId w:val="3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Assess JVI’s readiness towards obtaining Rainforest Alliance certification for the additional farmers targeted for </w:t>
      </w:r>
      <w:r w:rsidR="00B149D1" w:rsidRPr="00893745">
        <w:rPr>
          <w:rFonts w:asciiTheme="majorHAnsi" w:hAnsiTheme="majorHAnsi" w:cstheme="majorHAnsi"/>
          <w:sz w:val="24"/>
          <w:szCs w:val="24"/>
        </w:rPr>
        <w:t>its</w:t>
      </w:r>
      <w:r w:rsidRPr="00893745">
        <w:rPr>
          <w:rFonts w:asciiTheme="majorHAnsi" w:hAnsiTheme="majorHAnsi" w:cstheme="majorHAnsi"/>
          <w:sz w:val="24"/>
          <w:szCs w:val="24"/>
        </w:rPr>
        <w:t xml:space="preserve"> planned expansion of cocoa sourcing operations, identifying gaps and recommending steps to strengthen compliance in farmer sourcing.</w:t>
      </w:r>
    </w:p>
    <w:p w14:paraId="381F9A95" w14:textId="69879C32" w:rsidR="00396EEE" w:rsidRDefault="00893745" w:rsidP="0037059D">
      <w:pPr>
        <w:pStyle w:val="ListParagraph"/>
        <w:numPr>
          <w:ilvl w:val="0"/>
          <w:numId w:val="32"/>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Outline an Environmental and Social Action Plan (ESAP) with a matrix of key actions and measures </w:t>
      </w:r>
      <w:r w:rsidR="00B149D1" w:rsidRPr="00893745">
        <w:rPr>
          <w:rFonts w:asciiTheme="majorHAnsi" w:hAnsiTheme="majorHAnsi" w:cstheme="majorHAnsi"/>
          <w:sz w:val="24"/>
          <w:szCs w:val="24"/>
        </w:rPr>
        <w:t>to</w:t>
      </w:r>
      <w:r w:rsidRPr="00893745">
        <w:rPr>
          <w:rFonts w:asciiTheme="majorHAnsi" w:hAnsiTheme="majorHAnsi" w:cstheme="majorHAnsi"/>
          <w:sz w:val="24"/>
          <w:szCs w:val="24"/>
        </w:rPr>
        <w:t xml:space="preserve"> </w:t>
      </w:r>
      <w:proofErr w:type="spellStart"/>
      <w:r w:rsidRPr="00893745">
        <w:rPr>
          <w:rFonts w:asciiTheme="majorHAnsi" w:hAnsiTheme="majorHAnsi" w:cstheme="majorHAnsi"/>
          <w:sz w:val="24"/>
          <w:szCs w:val="24"/>
        </w:rPr>
        <w:t>i</w:t>
      </w:r>
      <w:proofErr w:type="spellEnd"/>
      <w:r w:rsidRPr="00893745">
        <w:rPr>
          <w:rFonts w:asciiTheme="majorHAnsi" w:hAnsiTheme="majorHAnsi" w:cstheme="majorHAnsi"/>
          <w:sz w:val="24"/>
          <w:szCs w:val="24"/>
        </w:rPr>
        <w:t>) Strengthen JVI’s existing ESMS; ii) Avoid, manage and mitigate potential risks identified</w:t>
      </w:r>
      <w:r w:rsidR="00083D77">
        <w:rPr>
          <w:rFonts w:asciiTheme="majorHAnsi" w:hAnsiTheme="majorHAnsi" w:cstheme="majorHAnsi"/>
          <w:sz w:val="24"/>
          <w:szCs w:val="24"/>
        </w:rPr>
        <w:t xml:space="preserve"> for the </w:t>
      </w:r>
      <w:r w:rsidR="00D90313">
        <w:rPr>
          <w:rFonts w:asciiTheme="majorHAnsi" w:hAnsiTheme="majorHAnsi" w:cstheme="majorHAnsi"/>
          <w:sz w:val="24"/>
          <w:szCs w:val="24"/>
        </w:rPr>
        <w:t>planned backward integration of JVI’s cocoa sourcing chain</w:t>
      </w:r>
      <w:r w:rsidRPr="00893745">
        <w:rPr>
          <w:rFonts w:asciiTheme="majorHAnsi" w:hAnsiTheme="majorHAnsi" w:cstheme="majorHAnsi"/>
          <w:sz w:val="24"/>
          <w:szCs w:val="24"/>
        </w:rPr>
        <w:t>. The ESAP should identify responsibilities, associated capacity building needs and budget estimates.</w:t>
      </w:r>
    </w:p>
    <w:p w14:paraId="14B6E834" w14:textId="02E2212E" w:rsidR="00893745" w:rsidRPr="00893745" w:rsidRDefault="00893745" w:rsidP="00396EEE">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720"/>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  </w:t>
      </w:r>
    </w:p>
    <w:p w14:paraId="0DB8EDCF" w14:textId="082C17E4" w:rsidR="00893745" w:rsidRPr="00893745" w:rsidRDefault="005A6CFD" w:rsidP="000A4482">
      <w:pPr>
        <w:spacing w:after="0"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b</w:t>
      </w:r>
      <w:r w:rsidR="00893745" w:rsidRPr="00893745">
        <w:rPr>
          <w:rFonts w:asciiTheme="majorHAnsi" w:hAnsiTheme="majorHAnsi" w:cstheme="majorHAnsi"/>
          <w:sz w:val="24"/>
          <w:szCs w:val="24"/>
          <w:lang w:val="en-US"/>
        </w:rPr>
        <w:t>. Training and Capacity Building</w:t>
      </w:r>
    </w:p>
    <w:p w14:paraId="0A87D98C" w14:textId="00EB1348" w:rsidR="00893745" w:rsidRDefault="00893745" w:rsidP="000A4482">
      <w:pPr>
        <w:pStyle w:val="ListParagraph"/>
        <w:numPr>
          <w:ilvl w:val="0"/>
          <w:numId w:val="3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Conduct training workshops for JVI staff and key stakeholders, to disseminate the findings of the E&amp;S </w:t>
      </w:r>
      <w:r w:rsidR="00573F61">
        <w:rPr>
          <w:rFonts w:asciiTheme="majorHAnsi" w:hAnsiTheme="majorHAnsi" w:cstheme="majorHAnsi"/>
          <w:sz w:val="24"/>
          <w:szCs w:val="24"/>
        </w:rPr>
        <w:t>risk</w:t>
      </w:r>
      <w:r w:rsidR="00573F61" w:rsidRPr="00893745">
        <w:rPr>
          <w:rFonts w:asciiTheme="majorHAnsi" w:hAnsiTheme="majorHAnsi" w:cstheme="majorHAnsi"/>
          <w:sz w:val="24"/>
          <w:szCs w:val="24"/>
        </w:rPr>
        <w:t xml:space="preserve"> </w:t>
      </w:r>
      <w:r w:rsidRPr="00893745">
        <w:rPr>
          <w:rFonts w:asciiTheme="majorHAnsi" w:hAnsiTheme="majorHAnsi" w:cstheme="majorHAnsi"/>
          <w:sz w:val="24"/>
          <w:szCs w:val="24"/>
        </w:rPr>
        <w:t>assessments</w:t>
      </w:r>
      <w:r w:rsidR="008D7BC4">
        <w:rPr>
          <w:rFonts w:asciiTheme="majorHAnsi" w:hAnsiTheme="majorHAnsi" w:cstheme="majorHAnsi"/>
          <w:sz w:val="24"/>
          <w:szCs w:val="24"/>
        </w:rPr>
        <w:t>,</w:t>
      </w:r>
      <w:r w:rsidRPr="00893745">
        <w:rPr>
          <w:rFonts w:asciiTheme="majorHAnsi" w:hAnsiTheme="majorHAnsi" w:cstheme="majorHAnsi"/>
          <w:sz w:val="24"/>
          <w:szCs w:val="24"/>
        </w:rPr>
        <w:t xml:space="preserve"> including improvements on the ESMS review and updated ESAP aligned to the planned expansion of cocoa sourcing areas, highlighting implementation best practices.</w:t>
      </w:r>
    </w:p>
    <w:p w14:paraId="6FE73D7E" w14:textId="77777777" w:rsidR="0037059D" w:rsidRPr="00893745" w:rsidRDefault="0037059D" w:rsidP="0037059D">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720"/>
        <w:contextualSpacing/>
        <w:jc w:val="both"/>
        <w:rPr>
          <w:rFonts w:asciiTheme="majorHAnsi" w:hAnsiTheme="majorHAnsi" w:cstheme="majorHAnsi"/>
          <w:sz w:val="24"/>
          <w:szCs w:val="24"/>
        </w:rPr>
      </w:pPr>
    </w:p>
    <w:p w14:paraId="18B17DF1" w14:textId="683CA614" w:rsidR="00893745" w:rsidRPr="0037059D" w:rsidRDefault="00893745" w:rsidP="000A4482">
      <w:pPr>
        <w:pStyle w:val="ListParagraph"/>
        <w:numPr>
          <w:ilvl w:val="0"/>
          <w:numId w:val="37"/>
        </w:numPr>
        <w:tabs>
          <w:tab w:val="clear" w:pos="794"/>
          <w:tab w:val="left" w:pos="426"/>
        </w:tabs>
        <w:spacing w:after="0" w:line="276" w:lineRule="auto"/>
        <w:ind w:left="426" w:hanging="426"/>
        <w:jc w:val="both"/>
        <w:rPr>
          <w:rFonts w:asciiTheme="majorHAnsi" w:hAnsiTheme="majorHAnsi" w:cstheme="majorHAnsi"/>
          <w:b/>
          <w:bCs/>
          <w:sz w:val="24"/>
          <w:szCs w:val="24"/>
        </w:rPr>
      </w:pPr>
      <w:r w:rsidRPr="0037059D">
        <w:rPr>
          <w:rFonts w:asciiTheme="majorHAnsi" w:hAnsiTheme="majorHAnsi" w:cstheme="majorHAnsi"/>
          <w:b/>
          <w:bCs/>
          <w:sz w:val="24"/>
          <w:szCs w:val="24"/>
        </w:rPr>
        <w:t>Deliverables:</w:t>
      </w:r>
    </w:p>
    <w:p w14:paraId="6C395539" w14:textId="77777777" w:rsidR="00893745" w:rsidRPr="00893745" w:rsidRDefault="00893745" w:rsidP="00893745">
      <w:pPr>
        <w:jc w:val="both"/>
        <w:rPr>
          <w:rFonts w:asciiTheme="majorHAnsi" w:hAnsiTheme="majorHAnsi" w:cstheme="majorHAnsi"/>
          <w:sz w:val="24"/>
          <w:szCs w:val="24"/>
        </w:rPr>
      </w:pPr>
      <w:r w:rsidRPr="00893745">
        <w:rPr>
          <w:rFonts w:asciiTheme="majorHAnsi" w:hAnsiTheme="majorHAnsi" w:cstheme="majorHAnsi"/>
          <w:sz w:val="24"/>
          <w:szCs w:val="24"/>
        </w:rPr>
        <w:t>The consultant will deliver the following deliverables:</w:t>
      </w:r>
    </w:p>
    <w:p w14:paraId="6E876144" w14:textId="554F6BD3" w:rsidR="00893745" w:rsidRPr="00893745" w:rsidRDefault="00893745" w:rsidP="00893745">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E&amp;</w:t>
      </w:r>
      <w:proofErr w:type="gramStart"/>
      <w:r w:rsidRPr="00893745">
        <w:rPr>
          <w:rFonts w:asciiTheme="majorHAnsi" w:hAnsiTheme="majorHAnsi" w:cstheme="majorHAnsi"/>
          <w:sz w:val="24"/>
          <w:szCs w:val="24"/>
        </w:rPr>
        <w:t>S  Assessment</w:t>
      </w:r>
      <w:proofErr w:type="gramEnd"/>
      <w:r w:rsidRPr="00893745">
        <w:rPr>
          <w:rFonts w:asciiTheme="majorHAnsi" w:hAnsiTheme="majorHAnsi" w:cstheme="majorHAnsi"/>
          <w:sz w:val="24"/>
          <w:szCs w:val="24"/>
        </w:rPr>
        <w:t xml:space="preserve"> Report: Preliminary assessment report with baseline data, ESMS review, and outline Environmental and Social Action Plan (ESAP).</w:t>
      </w:r>
    </w:p>
    <w:p w14:paraId="7D9E6F49" w14:textId="77777777" w:rsidR="00893745" w:rsidRPr="00893745" w:rsidRDefault="00893745" w:rsidP="00893745">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Stakeholder Engagement Plan: SEP that provides a roadmap for effective stakeholder engagement across the cocoa value chain.</w:t>
      </w:r>
    </w:p>
    <w:p w14:paraId="42202C1F" w14:textId="42D4F945" w:rsidR="00893745" w:rsidRPr="00893745" w:rsidRDefault="00893745" w:rsidP="00893745">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Training Workshop Materials: Materials to train JVI management and operational staff on ESMS, </w:t>
      </w:r>
    </w:p>
    <w:p w14:paraId="67496A9D" w14:textId="5D89A0D1" w:rsidR="00893745" w:rsidRDefault="00893745" w:rsidP="000A4482">
      <w:pPr>
        <w:pStyle w:val="ListParagraph"/>
        <w:numPr>
          <w:ilvl w:val="0"/>
          <w:numId w:val="28"/>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Training workshop report: Detailed report of the E&amp;S training workshop conducted to disseminate the findings to JVI staff and other key stakeholders.</w:t>
      </w:r>
    </w:p>
    <w:p w14:paraId="7F07B02C" w14:textId="77777777" w:rsidR="009F14EB" w:rsidRPr="00893745" w:rsidRDefault="009F14EB" w:rsidP="00D06C11">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720"/>
        <w:contextualSpacing/>
        <w:jc w:val="both"/>
        <w:rPr>
          <w:rFonts w:asciiTheme="majorHAnsi" w:hAnsiTheme="majorHAnsi" w:cstheme="majorHAnsi"/>
          <w:sz w:val="24"/>
          <w:szCs w:val="24"/>
        </w:rPr>
      </w:pPr>
    </w:p>
    <w:p w14:paraId="068C0293" w14:textId="3258B68E" w:rsidR="00893745" w:rsidRPr="009F14EB" w:rsidRDefault="00893745" w:rsidP="00D06C11">
      <w:pPr>
        <w:pStyle w:val="ListParagraph"/>
        <w:numPr>
          <w:ilvl w:val="0"/>
          <w:numId w:val="37"/>
        </w:numPr>
        <w:tabs>
          <w:tab w:val="clear" w:pos="794"/>
          <w:tab w:val="left" w:pos="426"/>
        </w:tabs>
        <w:spacing w:after="0" w:line="240" w:lineRule="auto"/>
        <w:ind w:left="426" w:hanging="426"/>
        <w:jc w:val="both"/>
        <w:rPr>
          <w:rFonts w:asciiTheme="majorHAnsi" w:hAnsiTheme="majorHAnsi" w:cstheme="majorHAnsi"/>
          <w:b/>
          <w:bCs/>
          <w:sz w:val="24"/>
          <w:szCs w:val="24"/>
        </w:rPr>
      </w:pPr>
      <w:r w:rsidRPr="009F14EB">
        <w:rPr>
          <w:rFonts w:asciiTheme="majorHAnsi" w:hAnsiTheme="majorHAnsi" w:cstheme="majorHAnsi"/>
          <w:b/>
          <w:bCs/>
          <w:sz w:val="24"/>
          <w:szCs w:val="24"/>
        </w:rPr>
        <w:t>Reference Frameworks</w:t>
      </w:r>
    </w:p>
    <w:p w14:paraId="444B6658"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IFC Performance Standards, </w:t>
      </w:r>
    </w:p>
    <w:p w14:paraId="1BA20680"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ILO Labour Conventions</w:t>
      </w:r>
    </w:p>
    <w:p w14:paraId="31E02FBF"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UN Principles for Responsible Investment, and UN Global Compact</w:t>
      </w:r>
    </w:p>
    <w:p w14:paraId="009484AA"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EUDR requirements</w:t>
      </w:r>
    </w:p>
    <w:p w14:paraId="5CB20BCD"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Relevant industry standards e.g. Rainforest Alliance, Fairtrade</w:t>
      </w:r>
    </w:p>
    <w:p w14:paraId="5688F3FE"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Applicable local, national, and international environmental and social (including occupational health and safety) legislation, conventions &amp; Treaties. </w:t>
      </w:r>
    </w:p>
    <w:p w14:paraId="5F05426B" w14:textId="77777777" w:rsidR="00893745" w:rsidRPr="00893745" w:rsidRDefault="00893745" w:rsidP="006C4C4C">
      <w:pPr>
        <w:pStyle w:val="ListParagraph"/>
        <w:numPr>
          <w:ilvl w:val="0"/>
          <w:numId w:val="38"/>
        </w:numPr>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851" w:hanging="153"/>
        <w:contextualSpacing/>
        <w:jc w:val="both"/>
        <w:rPr>
          <w:rFonts w:asciiTheme="majorHAnsi" w:hAnsiTheme="majorHAnsi" w:cstheme="majorHAnsi"/>
          <w:sz w:val="24"/>
          <w:szCs w:val="24"/>
        </w:rPr>
      </w:pPr>
      <w:r w:rsidRPr="00893745">
        <w:rPr>
          <w:rFonts w:asciiTheme="majorHAnsi" w:hAnsiTheme="majorHAnsi" w:cstheme="majorHAnsi"/>
          <w:sz w:val="24"/>
          <w:szCs w:val="24"/>
        </w:rPr>
        <w:t>Applicable industry sector standards and guidelines</w:t>
      </w:r>
    </w:p>
    <w:p w14:paraId="67D1F955" w14:textId="77777777" w:rsidR="00893745" w:rsidRPr="00893745" w:rsidRDefault="00893745" w:rsidP="006C4C4C">
      <w:pPr>
        <w:spacing w:after="0" w:line="240" w:lineRule="auto"/>
        <w:jc w:val="both"/>
        <w:rPr>
          <w:rFonts w:asciiTheme="majorHAnsi" w:hAnsiTheme="majorHAnsi" w:cstheme="majorHAnsi"/>
          <w:b/>
          <w:bCs/>
          <w:sz w:val="24"/>
          <w:szCs w:val="24"/>
        </w:rPr>
      </w:pPr>
    </w:p>
    <w:p w14:paraId="7D571262" w14:textId="2E550A7C" w:rsidR="00893745" w:rsidRPr="009F14EB" w:rsidRDefault="00893745" w:rsidP="006C4C4C">
      <w:pPr>
        <w:pStyle w:val="ListParagraph"/>
        <w:numPr>
          <w:ilvl w:val="0"/>
          <w:numId w:val="37"/>
        </w:numPr>
        <w:tabs>
          <w:tab w:val="clear" w:pos="794"/>
        </w:tabs>
        <w:spacing w:after="0" w:line="276" w:lineRule="auto"/>
        <w:ind w:left="426" w:hanging="426"/>
        <w:jc w:val="both"/>
        <w:rPr>
          <w:rFonts w:asciiTheme="majorHAnsi" w:hAnsiTheme="majorHAnsi" w:cstheme="majorHAnsi"/>
          <w:b/>
          <w:bCs/>
          <w:sz w:val="24"/>
          <w:szCs w:val="24"/>
        </w:rPr>
      </w:pPr>
      <w:r w:rsidRPr="009F14EB">
        <w:rPr>
          <w:rFonts w:asciiTheme="majorHAnsi" w:hAnsiTheme="majorHAnsi" w:cstheme="majorHAnsi"/>
          <w:b/>
          <w:bCs/>
          <w:sz w:val="24"/>
          <w:szCs w:val="24"/>
        </w:rPr>
        <w:t>Timeline:</w:t>
      </w:r>
    </w:p>
    <w:p w14:paraId="2F9668B0" w14:textId="3148B1A7" w:rsidR="00893745" w:rsidRPr="00893745" w:rsidRDefault="00893745" w:rsidP="006C4C4C">
      <w:pPr>
        <w:spacing w:after="0" w:line="240" w:lineRule="auto"/>
        <w:jc w:val="both"/>
        <w:rPr>
          <w:rFonts w:asciiTheme="majorHAnsi" w:hAnsiTheme="majorHAnsi" w:cstheme="majorHAnsi"/>
          <w:sz w:val="24"/>
          <w:szCs w:val="24"/>
        </w:rPr>
      </w:pPr>
      <w:r w:rsidRPr="00893745">
        <w:rPr>
          <w:rFonts w:asciiTheme="majorHAnsi" w:hAnsiTheme="majorHAnsi" w:cstheme="majorHAnsi"/>
          <w:sz w:val="24"/>
          <w:szCs w:val="24"/>
        </w:rPr>
        <w:t xml:space="preserve">The consultant is expected to work for a total of </w:t>
      </w:r>
      <w:r w:rsidR="006C0A12">
        <w:rPr>
          <w:rFonts w:asciiTheme="majorHAnsi" w:hAnsiTheme="majorHAnsi" w:cstheme="majorHAnsi"/>
          <w:b/>
          <w:bCs/>
          <w:sz w:val="24"/>
          <w:szCs w:val="24"/>
        </w:rPr>
        <w:t>3</w:t>
      </w:r>
      <w:r w:rsidRPr="00893745">
        <w:rPr>
          <w:rFonts w:asciiTheme="majorHAnsi" w:hAnsiTheme="majorHAnsi" w:cstheme="majorHAnsi"/>
          <w:b/>
          <w:bCs/>
          <w:sz w:val="24"/>
          <w:szCs w:val="24"/>
        </w:rPr>
        <w:t>0</w:t>
      </w:r>
      <w:r w:rsidRPr="00893745">
        <w:rPr>
          <w:rFonts w:asciiTheme="majorHAnsi" w:hAnsiTheme="majorHAnsi" w:cstheme="majorHAnsi"/>
          <w:sz w:val="24"/>
          <w:szCs w:val="24"/>
        </w:rPr>
        <w:t xml:space="preserve"> working days. The total duration of the assignment will be maximum </w:t>
      </w:r>
      <w:r w:rsidR="00E72FBC">
        <w:rPr>
          <w:rFonts w:asciiTheme="majorHAnsi" w:hAnsiTheme="majorHAnsi" w:cstheme="majorHAnsi"/>
          <w:sz w:val="24"/>
          <w:szCs w:val="24"/>
        </w:rPr>
        <w:t>3</w:t>
      </w:r>
      <w:r w:rsidRPr="00893745">
        <w:rPr>
          <w:rFonts w:asciiTheme="majorHAnsi" w:hAnsiTheme="majorHAnsi" w:cstheme="majorHAnsi"/>
          <w:sz w:val="24"/>
          <w:szCs w:val="24"/>
        </w:rPr>
        <w:t xml:space="preserve"> months (</w:t>
      </w:r>
      <w:r w:rsidR="00041CA9">
        <w:rPr>
          <w:rFonts w:asciiTheme="majorHAnsi" w:hAnsiTheme="majorHAnsi" w:cstheme="majorHAnsi"/>
          <w:b/>
          <w:bCs/>
          <w:sz w:val="24"/>
          <w:szCs w:val="24"/>
        </w:rPr>
        <w:t>June</w:t>
      </w:r>
      <w:r w:rsidR="00041CA9" w:rsidRPr="00893745">
        <w:rPr>
          <w:rFonts w:asciiTheme="majorHAnsi" w:hAnsiTheme="majorHAnsi" w:cstheme="majorHAnsi"/>
          <w:b/>
          <w:bCs/>
          <w:sz w:val="24"/>
          <w:szCs w:val="24"/>
        </w:rPr>
        <w:t xml:space="preserve"> </w:t>
      </w:r>
      <w:r w:rsidR="009F14EB" w:rsidRPr="00893745">
        <w:rPr>
          <w:rFonts w:asciiTheme="majorHAnsi" w:hAnsiTheme="majorHAnsi" w:cstheme="majorHAnsi"/>
          <w:b/>
          <w:bCs/>
          <w:sz w:val="24"/>
          <w:szCs w:val="24"/>
        </w:rPr>
        <w:t xml:space="preserve">– </w:t>
      </w:r>
      <w:r w:rsidR="00041CA9">
        <w:rPr>
          <w:rFonts w:asciiTheme="majorHAnsi" w:hAnsiTheme="majorHAnsi" w:cstheme="majorHAnsi"/>
          <w:b/>
          <w:bCs/>
          <w:sz w:val="24"/>
          <w:szCs w:val="24"/>
        </w:rPr>
        <w:t>August</w:t>
      </w:r>
      <w:r w:rsidRPr="00893745">
        <w:rPr>
          <w:rFonts w:asciiTheme="majorHAnsi" w:hAnsiTheme="majorHAnsi" w:cstheme="majorHAnsi"/>
          <w:b/>
          <w:bCs/>
          <w:sz w:val="24"/>
          <w:szCs w:val="24"/>
        </w:rPr>
        <w:t xml:space="preserve"> 2025</w:t>
      </w:r>
      <w:r w:rsidRPr="00893745">
        <w:rPr>
          <w:rFonts w:asciiTheme="majorHAnsi" w:hAnsiTheme="majorHAnsi" w:cstheme="majorHAnsi"/>
          <w:sz w:val="24"/>
          <w:szCs w:val="24"/>
        </w:rPr>
        <w:t xml:space="preserve">) after signing of the contract. </w:t>
      </w:r>
    </w:p>
    <w:p w14:paraId="494D31A6" w14:textId="22973ACC" w:rsidR="00893745" w:rsidRPr="00893745" w:rsidRDefault="00893745" w:rsidP="00893745">
      <w:pPr>
        <w:spacing w:after="0"/>
        <w:rPr>
          <w:rFonts w:asciiTheme="majorHAnsi" w:hAnsiTheme="majorHAnsi" w:cstheme="majorHAnsi"/>
          <w:b/>
          <w:bCs/>
          <w:sz w:val="24"/>
          <w:szCs w:val="24"/>
        </w:rPr>
      </w:pPr>
    </w:p>
    <w:p w14:paraId="3176813A" w14:textId="34B59AD1" w:rsidR="00893745" w:rsidRPr="009F14EB" w:rsidRDefault="00893745" w:rsidP="006C4C4C">
      <w:pPr>
        <w:pStyle w:val="ListParagraph"/>
        <w:numPr>
          <w:ilvl w:val="0"/>
          <w:numId w:val="37"/>
        </w:numPr>
        <w:tabs>
          <w:tab w:val="clear" w:pos="794"/>
          <w:tab w:val="left" w:pos="426"/>
        </w:tabs>
        <w:spacing w:after="0" w:line="276" w:lineRule="auto"/>
        <w:ind w:hanging="720"/>
        <w:jc w:val="both"/>
        <w:rPr>
          <w:rFonts w:asciiTheme="majorHAnsi" w:hAnsiTheme="majorHAnsi" w:cstheme="majorHAnsi"/>
          <w:b/>
          <w:bCs/>
          <w:sz w:val="24"/>
          <w:szCs w:val="24"/>
        </w:rPr>
      </w:pPr>
      <w:r w:rsidRPr="009F14EB">
        <w:rPr>
          <w:rFonts w:asciiTheme="majorHAnsi" w:hAnsiTheme="majorHAnsi" w:cstheme="majorHAnsi"/>
          <w:b/>
          <w:bCs/>
          <w:sz w:val="24"/>
          <w:szCs w:val="24"/>
        </w:rPr>
        <w:t>Qualifications:</w:t>
      </w:r>
    </w:p>
    <w:p w14:paraId="2A485255" w14:textId="77777777" w:rsidR="00893745" w:rsidRPr="00893745" w:rsidRDefault="00893745" w:rsidP="006C4C4C">
      <w:pPr>
        <w:spacing w:after="0"/>
        <w:jc w:val="both"/>
        <w:rPr>
          <w:rFonts w:asciiTheme="majorHAnsi" w:hAnsiTheme="majorHAnsi" w:cstheme="majorHAnsi"/>
          <w:sz w:val="24"/>
          <w:szCs w:val="24"/>
        </w:rPr>
      </w:pPr>
      <w:r w:rsidRPr="00893745">
        <w:rPr>
          <w:rFonts w:asciiTheme="majorHAnsi" w:hAnsiTheme="majorHAnsi" w:cstheme="majorHAnsi"/>
          <w:sz w:val="24"/>
          <w:szCs w:val="24"/>
        </w:rPr>
        <w:t xml:space="preserve">The Consultant firm or team is to comprise a balanced mix of complementary expertise (international/national) to be proposed by the Consultant aligned with the requested services: </w:t>
      </w:r>
    </w:p>
    <w:p w14:paraId="338B4C90" w14:textId="77777777" w:rsidR="00893745" w:rsidRPr="00893745" w:rsidRDefault="00893745" w:rsidP="006C4C4C">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Environmental and Social Safeguards expertise with at least 7 years</w:t>
      </w:r>
      <w:r w:rsidRPr="00893745">
        <w:rPr>
          <w:rFonts w:asciiTheme="majorHAnsi" w:eastAsia="Calibri" w:hAnsiTheme="majorHAnsi" w:cstheme="majorHAnsi"/>
          <w:sz w:val="24"/>
          <w:szCs w:val="24"/>
        </w:rPr>
        <w:t>’</w:t>
      </w:r>
      <w:r w:rsidRPr="00893745">
        <w:rPr>
          <w:rFonts w:asciiTheme="majorHAnsi" w:hAnsiTheme="majorHAnsi" w:cstheme="majorHAnsi"/>
          <w:sz w:val="24"/>
          <w:szCs w:val="24"/>
        </w:rPr>
        <w:t xml:space="preserve"> experience of conducting ESMS review, E&amp;S assessments and preparation of ESAPs/Environmental and Social Action or Management Plans (ESAP/ESMPs) for agriculture value chain management projects in Africa. </w:t>
      </w:r>
    </w:p>
    <w:p w14:paraId="0205074F" w14:textId="77777777" w:rsidR="00893745" w:rsidRPr="00893745" w:rsidRDefault="00893745" w:rsidP="0096327D">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Familiarity with IFC Performance Standards and relevant agriculture sub-sector guidelines is expected. Experience with private sector is highly desirable. Experience of similar cocoa sector assessments is advantageous. </w:t>
      </w:r>
    </w:p>
    <w:p w14:paraId="1BED98A8" w14:textId="0D54E864" w:rsidR="00893745" w:rsidRPr="00893745" w:rsidRDefault="00893745" w:rsidP="0096327D">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lastRenderedPageBreak/>
        <w:t>Demonstrated experience in conducting ESG and ESMS reviews, for companies in the cocoa farming and processing sector.</w:t>
      </w:r>
    </w:p>
    <w:p w14:paraId="050615AA" w14:textId="77777777" w:rsidR="00893745" w:rsidRPr="00893745" w:rsidRDefault="00893745" w:rsidP="0096327D">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Practical knowledge and application of the IFC Performance Standards, World Bank ESF, UN Principles for Responsible Investment, and UN Global Compact, FSC Standards, ILO Conventions especially in the cocoa sector</w:t>
      </w:r>
    </w:p>
    <w:p w14:paraId="5579C9D0" w14:textId="77777777" w:rsidR="00893745" w:rsidRPr="00893745" w:rsidRDefault="00893745" w:rsidP="0096327D">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59"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Strong knowledge of stakeholder engagement best practices and experience in developing stakeholder engagement plans for investments in natural resources including cocoa sector.</w:t>
      </w:r>
    </w:p>
    <w:p w14:paraId="3C400D19" w14:textId="77777777" w:rsidR="00893745" w:rsidRPr="00893745" w:rsidRDefault="00893745" w:rsidP="00D06C11">
      <w:pPr>
        <w:pStyle w:val="ListParagraph"/>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851"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Excellent analytical and report writing skills.</w:t>
      </w:r>
    </w:p>
    <w:p w14:paraId="00435E70" w14:textId="77777777" w:rsidR="00893745" w:rsidRPr="00893745" w:rsidRDefault="00893745" w:rsidP="00D06C11">
      <w:pPr>
        <w:spacing w:after="0" w:line="240" w:lineRule="auto"/>
        <w:jc w:val="both"/>
        <w:rPr>
          <w:rFonts w:asciiTheme="majorHAnsi" w:hAnsiTheme="majorHAnsi" w:cstheme="majorHAnsi"/>
          <w:sz w:val="24"/>
          <w:szCs w:val="24"/>
        </w:rPr>
      </w:pPr>
    </w:p>
    <w:p w14:paraId="338AA6CF" w14:textId="54033999" w:rsidR="00893745" w:rsidRPr="00041F4A" w:rsidRDefault="00041F4A" w:rsidP="00BB2C7D">
      <w:pPr>
        <w:pStyle w:val="ListParagraph"/>
        <w:numPr>
          <w:ilvl w:val="0"/>
          <w:numId w:val="37"/>
        </w:numPr>
        <w:tabs>
          <w:tab w:val="clear" w:pos="794"/>
          <w:tab w:val="left" w:pos="426"/>
        </w:tabs>
        <w:spacing w:after="0" w:line="360" w:lineRule="auto"/>
        <w:ind w:hanging="720"/>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00893745" w:rsidRPr="00041F4A">
        <w:rPr>
          <w:rFonts w:asciiTheme="majorHAnsi" w:hAnsiTheme="majorHAnsi" w:cstheme="majorHAnsi"/>
          <w:b/>
          <w:bCs/>
          <w:sz w:val="24"/>
          <w:szCs w:val="24"/>
        </w:rPr>
        <w:t>T</w:t>
      </w:r>
      <w:r w:rsidRPr="00041F4A">
        <w:rPr>
          <w:rFonts w:asciiTheme="majorHAnsi" w:hAnsiTheme="majorHAnsi" w:cstheme="majorHAnsi"/>
          <w:b/>
          <w:bCs/>
          <w:sz w:val="24"/>
          <w:szCs w:val="24"/>
        </w:rPr>
        <w:t>he</w:t>
      </w:r>
      <w:r w:rsidR="00893745" w:rsidRPr="00041F4A">
        <w:rPr>
          <w:rFonts w:asciiTheme="majorHAnsi" w:hAnsiTheme="majorHAnsi" w:cstheme="majorHAnsi"/>
          <w:b/>
          <w:bCs/>
          <w:sz w:val="24"/>
          <w:szCs w:val="24"/>
        </w:rPr>
        <w:t xml:space="preserve"> P</w:t>
      </w:r>
      <w:r w:rsidRPr="00041F4A">
        <w:rPr>
          <w:rFonts w:asciiTheme="majorHAnsi" w:hAnsiTheme="majorHAnsi" w:cstheme="majorHAnsi"/>
          <w:b/>
          <w:bCs/>
          <w:sz w:val="24"/>
          <w:szCs w:val="24"/>
        </w:rPr>
        <w:t>roposal</w:t>
      </w:r>
      <w:r w:rsidR="00893745" w:rsidRPr="00041F4A">
        <w:rPr>
          <w:rFonts w:asciiTheme="majorHAnsi" w:hAnsiTheme="majorHAnsi" w:cstheme="majorHAnsi"/>
          <w:b/>
          <w:bCs/>
          <w:sz w:val="24"/>
          <w:szCs w:val="24"/>
        </w:rPr>
        <w:t xml:space="preserve"> </w:t>
      </w:r>
    </w:p>
    <w:p w14:paraId="692E2EE9" w14:textId="77777777" w:rsidR="00893745" w:rsidRPr="00893745" w:rsidRDefault="00893745" w:rsidP="00893745">
      <w:pPr>
        <w:jc w:val="both"/>
        <w:rPr>
          <w:rFonts w:asciiTheme="majorHAnsi" w:hAnsiTheme="majorHAnsi" w:cstheme="majorHAnsi"/>
          <w:iCs/>
          <w:sz w:val="24"/>
          <w:szCs w:val="24"/>
        </w:rPr>
      </w:pPr>
      <w:r w:rsidRPr="00893745">
        <w:rPr>
          <w:rFonts w:asciiTheme="majorHAnsi" w:hAnsiTheme="majorHAnsi" w:cstheme="majorHAnsi"/>
          <w:iCs/>
          <w:sz w:val="24"/>
          <w:szCs w:val="24"/>
        </w:rPr>
        <w:t>Consultants are expected to submit both technical and financial proposals at the same time but separated into two files / digital envelopes,</w:t>
      </w:r>
    </w:p>
    <w:p w14:paraId="2BCA9576" w14:textId="77777777" w:rsidR="00893745" w:rsidRPr="00893745" w:rsidRDefault="00893745" w:rsidP="00BB2C7D">
      <w:pPr>
        <w:numPr>
          <w:ilvl w:val="0"/>
          <w:numId w:val="22"/>
        </w:numPr>
        <w:spacing w:after="0"/>
        <w:jc w:val="both"/>
        <w:rPr>
          <w:rFonts w:asciiTheme="majorHAnsi" w:hAnsiTheme="majorHAnsi" w:cstheme="majorHAnsi"/>
          <w:sz w:val="24"/>
          <w:szCs w:val="24"/>
        </w:rPr>
      </w:pPr>
      <w:r w:rsidRPr="00893745">
        <w:rPr>
          <w:rFonts w:asciiTheme="majorHAnsi" w:hAnsiTheme="majorHAnsi" w:cstheme="majorHAnsi"/>
          <w:sz w:val="24"/>
          <w:szCs w:val="24"/>
        </w:rPr>
        <w:t xml:space="preserve">File 1: Detailed Technical proposal showing: </w:t>
      </w:r>
    </w:p>
    <w:p w14:paraId="15D48A2A" w14:textId="77777777" w:rsidR="00893745" w:rsidRPr="00893745"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Understanding of the TOR</w:t>
      </w:r>
    </w:p>
    <w:p w14:paraId="15C52CE0" w14:textId="77777777" w:rsidR="00893745" w:rsidRPr="00893745"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Methodology overview that shows how the objectives of the study will be met</w:t>
      </w:r>
    </w:p>
    <w:p w14:paraId="48574905" w14:textId="77777777" w:rsidR="00893745" w:rsidRPr="00893745" w:rsidRDefault="00893745" w:rsidP="00BB2C7D">
      <w:pPr>
        <w:numPr>
          <w:ilvl w:val="0"/>
          <w:numId w:val="22"/>
        </w:numPr>
        <w:spacing w:after="0"/>
        <w:jc w:val="both"/>
        <w:rPr>
          <w:rFonts w:asciiTheme="majorHAnsi" w:hAnsiTheme="majorHAnsi" w:cstheme="majorHAnsi"/>
          <w:sz w:val="24"/>
          <w:szCs w:val="24"/>
        </w:rPr>
      </w:pPr>
      <w:r w:rsidRPr="00893745">
        <w:rPr>
          <w:rFonts w:asciiTheme="majorHAnsi" w:hAnsiTheme="majorHAnsi" w:cstheme="majorHAnsi"/>
          <w:sz w:val="24"/>
          <w:szCs w:val="24"/>
        </w:rPr>
        <w:t xml:space="preserve">Detailed financial proposal </w:t>
      </w:r>
    </w:p>
    <w:p w14:paraId="57990EC5" w14:textId="77777777" w:rsidR="00893745" w:rsidRPr="00893745"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Breakdown of professional fee </w:t>
      </w:r>
    </w:p>
    <w:p w14:paraId="25D8801F" w14:textId="77777777" w:rsidR="00893745" w:rsidRPr="00893745"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Breakdown of travel, per diem, and related fees </w:t>
      </w:r>
    </w:p>
    <w:p w14:paraId="7DB7F5F5" w14:textId="77777777" w:rsidR="00893745" w:rsidRPr="00893745" w:rsidRDefault="00893745" w:rsidP="00BB2C7D">
      <w:pPr>
        <w:numPr>
          <w:ilvl w:val="0"/>
          <w:numId w:val="22"/>
        </w:numPr>
        <w:spacing w:after="0"/>
        <w:jc w:val="both"/>
        <w:rPr>
          <w:rFonts w:asciiTheme="majorHAnsi" w:hAnsiTheme="majorHAnsi" w:cstheme="majorHAnsi"/>
          <w:sz w:val="24"/>
          <w:szCs w:val="24"/>
        </w:rPr>
      </w:pPr>
      <w:r w:rsidRPr="00893745">
        <w:rPr>
          <w:rFonts w:asciiTheme="majorHAnsi" w:hAnsiTheme="majorHAnsi" w:cstheme="majorHAnsi"/>
          <w:sz w:val="24"/>
          <w:szCs w:val="24"/>
        </w:rPr>
        <w:t xml:space="preserve">CVs </w:t>
      </w:r>
    </w:p>
    <w:p w14:paraId="1563A9E6" w14:textId="77777777" w:rsidR="00893745" w:rsidRPr="00893745"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59"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 xml:space="preserve">key staff to be assigned for this study, </w:t>
      </w:r>
    </w:p>
    <w:p w14:paraId="59584920" w14:textId="77777777" w:rsidR="00C56762" w:rsidRDefault="00893745" w:rsidP="00BB2C7D">
      <w:pPr>
        <w:pStyle w:val="ListParagraph"/>
        <w:numPr>
          <w:ilvl w:val="0"/>
          <w:numId w:val="23"/>
        </w:numPr>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993" w:hanging="284"/>
        <w:contextualSpacing/>
        <w:jc w:val="both"/>
        <w:rPr>
          <w:rFonts w:asciiTheme="majorHAnsi" w:hAnsiTheme="majorHAnsi" w:cstheme="majorHAnsi"/>
          <w:sz w:val="24"/>
          <w:szCs w:val="24"/>
        </w:rPr>
      </w:pPr>
      <w:r w:rsidRPr="00893745">
        <w:rPr>
          <w:rFonts w:asciiTheme="majorHAnsi" w:hAnsiTheme="majorHAnsi" w:cstheme="majorHAnsi"/>
          <w:sz w:val="24"/>
          <w:szCs w:val="24"/>
        </w:rPr>
        <w:t>Corresponding roles and responsibilities of key staff</w:t>
      </w:r>
    </w:p>
    <w:p w14:paraId="2B7993A1" w14:textId="5FEB1A2E" w:rsidR="00893745" w:rsidRPr="00BB2C7D" w:rsidRDefault="00893745" w:rsidP="00BB2C7D">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ind w:left="993"/>
        <w:contextualSpacing/>
        <w:jc w:val="both"/>
        <w:rPr>
          <w:rFonts w:asciiTheme="majorHAnsi" w:hAnsiTheme="majorHAnsi" w:cstheme="majorHAnsi"/>
          <w:sz w:val="12"/>
          <w:szCs w:val="12"/>
        </w:rPr>
      </w:pPr>
      <w:r w:rsidRPr="00893745">
        <w:rPr>
          <w:rFonts w:asciiTheme="majorHAnsi" w:hAnsiTheme="majorHAnsi" w:cstheme="majorHAnsi"/>
          <w:sz w:val="24"/>
          <w:szCs w:val="24"/>
        </w:rPr>
        <w:t xml:space="preserve"> </w:t>
      </w:r>
    </w:p>
    <w:p w14:paraId="749BDD52" w14:textId="7187CE70" w:rsidR="000B6330" w:rsidRPr="00D06C11" w:rsidRDefault="00893745" w:rsidP="00D06C11">
      <w:pPr>
        <w:pStyle w:val="ListParagraph"/>
        <w:numPr>
          <w:ilvl w:val="0"/>
          <w:numId w:val="22"/>
        </w:numPr>
        <w:tabs>
          <w:tab w:val="clear" w:pos="0"/>
          <w:tab w:val="clear" w:pos="794"/>
          <w:tab w:val="clear" w:pos="1588"/>
          <w:tab w:val="clear" w:pos="2381"/>
          <w:tab w:val="clear" w:pos="3175"/>
          <w:tab w:val="clear" w:pos="3969"/>
          <w:tab w:val="clear" w:pos="4763"/>
          <w:tab w:val="clear" w:pos="5557"/>
          <w:tab w:val="clear" w:pos="6350"/>
          <w:tab w:val="clear" w:pos="7144"/>
        </w:tabs>
        <w:spacing w:after="0" w:line="240" w:lineRule="auto"/>
        <w:contextualSpacing/>
        <w:jc w:val="both"/>
        <w:rPr>
          <w:rFonts w:asciiTheme="majorHAnsi" w:hAnsiTheme="majorHAnsi" w:cstheme="majorHAnsi"/>
          <w:sz w:val="24"/>
          <w:szCs w:val="24"/>
        </w:rPr>
      </w:pPr>
      <w:r w:rsidRPr="00893745">
        <w:rPr>
          <w:rFonts w:asciiTheme="majorHAnsi" w:hAnsiTheme="majorHAnsi" w:cstheme="majorHAnsi"/>
          <w:sz w:val="24"/>
          <w:szCs w:val="24"/>
        </w:rPr>
        <w:t>Previous experiences in similar assignments.</w:t>
      </w:r>
    </w:p>
    <w:p w14:paraId="1A867B3E" w14:textId="77777777" w:rsidR="00972933" w:rsidRPr="00893745" w:rsidRDefault="00972933" w:rsidP="00972933">
      <w:pPr>
        <w:rPr>
          <w:rFonts w:asciiTheme="majorHAnsi" w:hAnsiTheme="majorHAnsi" w:cstheme="majorHAnsi"/>
          <w:b/>
          <w:color w:val="375380" w:themeColor="text2"/>
          <w:sz w:val="24"/>
          <w:szCs w:val="24"/>
        </w:rPr>
      </w:pPr>
    </w:p>
    <w:sectPr w:rsidR="00972933" w:rsidRPr="00893745" w:rsidSect="00893745">
      <w:footerReference w:type="default" r:id="rId14"/>
      <w:headerReference w:type="first" r:id="rId15"/>
      <w:footerReference w:type="first" r:id="rId16"/>
      <w:pgSz w:w="11906" w:h="16838" w:code="9"/>
      <w:pgMar w:top="1276" w:right="1418" w:bottom="170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6EE8" w14:textId="77777777" w:rsidR="00802148" w:rsidRDefault="00802148" w:rsidP="002419DA">
      <w:pPr>
        <w:spacing w:line="240" w:lineRule="auto"/>
      </w:pPr>
      <w:r>
        <w:separator/>
      </w:r>
    </w:p>
  </w:endnote>
  <w:endnote w:type="continuationSeparator" w:id="0">
    <w:p w14:paraId="1168B648" w14:textId="77777777" w:rsidR="00802148" w:rsidRDefault="00802148" w:rsidP="00241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419097843"/>
      <w:docPartObj>
        <w:docPartGallery w:val="Page Numbers (Bottom of Page)"/>
        <w:docPartUnique/>
      </w:docPartObj>
    </w:sdtPr>
    <w:sdtEndPr>
      <w:rPr>
        <w:noProof/>
      </w:rPr>
    </w:sdtEndPr>
    <w:sdtContent>
      <w:p w14:paraId="699EC033" w14:textId="3640EAF9" w:rsidR="00AF7D8B" w:rsidRDefault="00AF7D8B">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B60BF7C" w14:textId="77777777" w:rsidR="00AF7D8B" w:rsidRDefault="00AF7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Ind w:w="-567" w:type="dxa"/>
      <w:tblLook w:val="04A0" w:firstRow="1" w:lastRow="0" w:firstColumn="1" w:lastColumn="0" w:noHBand="0" w:noVBand="1"/>
    </w:tblPr>
    <w:tblGrid>
      <w:gridCol w:w="4536"/>
      <w:gridCol w:w="3515"/>
      <w:gridCol w:w="2494"/>
    </w:tblGrid>
    <w:tr w:rsidR="005B4F41" w14:paraId="4C6E587B" w14:textId="77777777" w:rsidTr="005B4F41">
      <w:tc>
        <w:tcPr>
          <w:tcW w:w="4536" w:type="dxa"/>
          <w:vAlign w:val="bottom"/>
        </w:tcPr>
        <w:p w14:paraId="1565C2A5" w14:textId="77777777" w:rsidR="000C1D84" w:rsidRDefault="000C1D84" w:rsidP="005B4F41">
          <w:pPr>
            <w:pStyle w:val="Footer"/>
          </w:pPr>
        </w:p>
      </w:tc>
      <w:tc>
        <w:tcPr>
          <w:tcW w:w="3515" w:type="dxa"/>
          <w:tcMar>
            <w:left w:w="992" w:type="dxa"/>
          </w:tcMar>
          <w:vAlign w:val="bottom"/>
        </w:tcPr>
        <w:p w14:paraId="7BE8E910" w14:textId="77777777" w:rsidR="000C1D84" w:rsidRPr="00233F7F" w:rsidRDefault="000C1D84" w:rsidP="00233F7F">
          <w:pPr>
            <w:pStyle w:val="Footer"/>
          </w:pPr>
        </w:p>
      </w:tc>
      <w:tc>
        <w:tcPr>
          <w:tcW w:w="2494" w:type="dxa"/>
          <w:vAlign w:val="bottom"/>
        </w:tcPr>
        <w:p w14:paraId="314202B3" w14:textId="77777777" w:rsidR="000C1D84" w:rsidRPr="002503B1" w:rsidRDefault="000C1D84" w:rsidP="00233F7F">
          <w:pPr>
            <w:pStyle w:val="Footer"/>
            <w:rPr>
              <w:rFonts w:asciiTheme="majorHAnsi" w:hAnsiTheme="majorHAnsi"/>
              <w:b/>
              <w:bCs/>
            </w:rPr>
          </w:pPr>
        </w:p>
      </w:tc>
    </w:tr>
  </w:tbl>
  <w:p w14:paraId="40453D27" w14:textId="77777777" w:rsidR="002419DA" w:rsidRDefault="00233F7F" w:rsidP="00233F7F">
    <w:pPr>
      <w:pStyle w:val="Footer"/>
      <w:tabs>
        <w:tab w:val="left" w:pos="4820"/>
      </w:tabs>
      <w:spacing w:line="14" w:lineRule="exact"/>
    </w:pPr>
    <w:r>
      <mc:AlternateContent>
        <mc:Choice Requires="wps">
          <w:drawing>
            <wp:anchor distT="0" distB="0" distL="114300" distR="114300" simplePos="0" relativeHeight="251667456" behindDoc="1" locked="1" layoutInCell="1" allowOverlap="1" wp14:anchorId="5FF55645" wp14:editId="61FB6E61">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3932" id="Graphic 7" o:spid="_x0000_s1026" alt="&quot;&quot;" style="position:absolute;margin-left:252.4pt;margin-top:0;width:303.6pt;height:178.6pt;z-index:-2516490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DA60" w14:textId="77777777" w:rsidR="00802148" w:rsidRDefault="00802148" w:rsidP="002419DA">
      <w:pPr>
        <w:spacing w:line="240" w:lineRule="auto"/>
      </w:pPr>
      <w:r>
        <w:separator/>
      </w:r>
    </w:p>
  </w:footnote>
  <w:footnote w:type="continuationSeparator" w:id="0">
    <w:p w14:paraId="639FA612" w14:textId="77777777" w:rsidR="00802148" w:rsidRDefault="00802148" w:rsidP="00241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E864" w14:textId="77777777" w:rsidR="002419DA" w:rsidRDefault="00233F7F" w:rsidP="005F1140">
    <w:pPr>
      <w:pStyle w:val="Header"/>
      <w:spacing w:line="2960" w:lineRule="exact"/>
    </w:pPr>
    <w:r>
      <w:drawing>
        <wp:anchor distT="0" distB="0" distL="114300" distR="114300" simplePos="0" relativeHeight="251668480" behindDoc="0" locked="0" layoutInCell="1" allowOverlap="1" wp14:anchorId="13F81519" wp14:editId="2F4E0A7E">
          <wp:simplePos x="0" y="0"/>
          <wp:positionH relativeFrom="page">
            <wp:posOffset>483235</wp:posOffset>
          </wp:positionH>
          <wp:positionV relativeFrom="page">
            <wp:posOffset>490220</wp:posOffset>
          </wp:positionV>
          <wp:extent cx="2232000" cy="1114544"/>
          <wp:effectExtent l="0" t="0" r="0" b="0"/>
          <wp:wrapNone/>
          <wp:docPr id="973279183"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 w15:restartNumberingAfterBreak="0">
    <w:nsid w:val="05D16497"/>
    <w:multiLevelType w:val="hybridMultilevel"/>
    <w:tmpl w:val="864C9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A17988"/>
    <w:multiLevelType w:val="multilevel"/>
    <w:tmpl w:val="68121924"/>
    <w:numStyleLink w:val="Koppenlijst"/>
  </w:abstractNum>
  <w:abstractNum w:abstractNumId="4" w15:restartNumberingAfterBreak="0">
    <w:nsid w:val="12C368FB"/>
    <w:multiLevelType w:val="hybridMultilevel"/>
    <w:tmpl w:val="49FE0D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C42941"/>
    <w:multiLevelType w:val="hybridMultilevel"/>
    <w:tmpl w:val="1F72CC20"/>
    <w:lvl w:ilvl="0" w:tplc="2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7" w15:restartNumberingAfterBreak="0">
    <w:nsid w:val="27274A7D"/>
    <w:multiLevelType w:val="hybridMultilevel"/>
    <w:tmpl w:val="7A5698B6"/>
    <w:lvl w:ilvl="0" w:tplc="200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55551A"/>
    <w:multiLevelType w:val="hybridMultilevel"/>
    <w:tmpl w:val="B924104E"/>
    <w:lvl w:ilvl="0" w:tplc="1B2EF1FA">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B6141"/>
    <w:multiLevelType w:val="hybridMultilevel"/>
    <w:tmpl w:val="6C0A35AC"/>
    <w:lvl w:ilvl="0" w:tplc="4E6AD114">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3D6DDA"/>
    <w:multiLevelType w:val="hybridMultilevel"/>
    <w:tmpl w:val="06902DCC"/>
    <w:lvl w:ilvl="0" w:tplc="200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631BD"/>
    <w:multiLevelType w:val="hybridMultilevel"/>
    <w:tmpl w:val="CD6891D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B4139D"/>
    <w:multiLevelType w:val="hybridMultilevel"/>
    <w:tmpl w:val="8934336E"/>
    <w:lvl w:ilvl="0" w:tplc="200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6" w15:restartNumberingAfterBreak="0">
    <w:nsid w:val="3DAA759F"/>
    <w:multiLevelType w:val="multilevel"/>
    <w:tmpl w:val="59D4A8E2"/>
    <w:numStyleLink w:val="Cijfers"/>
  </w:abstractNum>
  <w:abstractNum w:abstractNumId="17" w15:restartNumberingAfterBreak="0">
    <w:nsid w:val="3F764C75"/>
    <w:multiLevelType w:val="multilevel"/>
    <w:tmpl w:val="68121924"/>
    <w:numStyleLink w:val="Koppenlijst"/>
  </w:abstractNum>
  <w:abstractNum w:abstractNumId="18" w15:restartNumberingAfterBreak="0">
    <w:nsid w:val="41BF6E25"/>
    <w:multiLevelType w:val="hybridMultilevel"/>
    <w:tmpl w:val="9DF673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4EA7801"/>
    <w:multiLevelType w:val="hybridMultilevel"/>
    <w:tmpl w:val="28C2F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8628AA"/>
    <w:multiLevelType w:val="hybridMultilevel"/>
    <w:tmpl w:val="795E9D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CF05A83"/>
    <w:multiLevelType w:val="hybridMultilevel"/>
    <w:tmpl w:val="EAF2DC2A"/>
    <w:lvl w:ilvl="0" w:tplc="200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2C4B54"/>
    <w:multiLevelType w:val="hybridMultilevel"/>
    <w:tmpl w:val="7E78414A"/>
    <w:lvl w:ilvl="0" w:tplc="20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B17545"/>
    <w:multiLevelType w:val="hybridMultilevel"/>
    <w:tmpl w:val="D3B2E34A"/>
    <w:lvl w:ilvl="0" w:tplc="18EA37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B55AC7"/>
    <w:multiLevelType w:val="hybridMultilevel"/>
    <w:tmpl w:val="AFF838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B4B7AE5"/>
    <w:multiLevelType w:val="hybridMultilevel"/>
    <w:tmpl w:val="18BE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752D"/>
    <w:multiLevelType w:val="multilevel"/>
    <w:tmpl w:val="A15CC90A"/>
    <w:lvl w:ilvl="0">
      <w:start w:val="1"/>
      <w:numFmt w:val="decimal"/>
      <w:lvlText w:val="%1."/>
      <w:lvlJc w:val="left"/>
      <w:pPr>
        <w:ind w:left="397" w:hanging="397"/>
      </w:pPr>
      <w:rPr>
        <w:rFonts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28"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9" w15:restartNumberingAfterBreak="0">
    <w:nsid w:val="72A9116F"/>
    <w:multiLevelType w:val="hybridMultilevel"/>
    <w:tmpl w:val="DF86B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8257473"/>
    <w:multiLevelType w:val="hybridMultilevel"/>
    <w:tmpl w:val="196C92F6"/>
    <w:lvl w:ilvl="0" w:tplc="2000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7514B6"/>
    <w:multiLevelType w:val="hybridMultilevel"/>
    <w:tmpl w:val="586A51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6"/>
  </w:num>
  <w:num w:numId="2" w16cid:durableId="1243250502">
    <w:abstractNumId w:val="6"/>
  </w:num>
  <w:num w:numId="3" w16cid:durableId="616104099">
    <w:abstractNumId w:val="1"/>
  </w:num>
  <w:num w:numId="4" w16cid:durableId="557207167">
    <w:abstractNumId w:val="16"/>
  </w:num>
  <w:num w:numId="5" w16cid:durableId="1271474752">
    <w:abstractNumId w:val="15"/>
  </w:num>
  <w:num w:numId="6" w16cid:durableId="185218025">
    <w:abstractNumId w:val="15"/>
  </w:num>
  <w:num w:numId="7" w16cid:durableId="801267783">
    <w:abstractNumId w:val="15"/>
  </w:num>
  <w:num w:numId="8" w16cid:durableId="1096902998">
    <w:abstractNumId w:val="28"/>
  </w:num>
  <w:num w:numId="9" w16cid:durableId="610670841">
    <w:abstractNumId w:val="6"/>
  </w:num>
  <w:num w:numId="10" w16cid:durableId="49766568">
    <w:abstractNumId w:val="16"/>
  </w:num>
  <w:num w:numId="11" w16cid:durableId="20323767">
    <w:abstractNumId w:val="17"/>
  </w:num>
  <w:num w:numId="12" w16cid:durableId="36973620">
    <w:abstractNumId w:val="3"/>
  </w:num>
  <w:num w:numId="13" w16cid:durableId="398480499">
    <w:abstractNumId w:val="32"/>
  </w:num>
  <w:num w:numId="14" w16cid:durableId="80413668">
    <w:abstractNumId w:val="0"/>
  </w:num>
  <w:num w:numId="15" w16cid:durableId="1157040786">
    <w:abstractNumId w:val="14"/>
  </w:num>
  <w:num w:numId="16" w16cid:durableId="19089233">
    <w:abstractNumId w:val="8"/>
  </w:num>
  <w:num w:numId="17" w16cid:durableId="2075929641">
    <w:abstractNumId w:val="21"/>
  </w:num>
  <w:num w:numId="18" w16cid:durableId="86385517">
    <w:abstractNumId w:val="27"/>
  </w:num>
  <w:num w:numId="19" w16cid:durableId="1829712910">
    <w:abstractNumId w:val="24"/>
  </w:num>
  <w:num w:numId="20" w16cid:durableId="944534569">
    <w:abstractNumId w:val="12"/>
  </w:num>
  <w:num w:numId="21" w16cid:durableId="2055352844">
    <w:abstractNumId w:val="19"/>
  </w:num>
  <w:num w:numId="22" w16cid:durableId="453181958">
    <w:abstractNumId w:val="26"/>
  </w:num>
  <w:num w:numId="23" w16cid:durableId="335769851">
    <w:abstractNumId w:val="9"/>
  </w:num>
  <w:num w:numId="24" w16cid:durableId="1612931803">
    <w:abstractNumId w:val="20"/>
  </w:num>
  <w:num w:numId="25" w16cid:durableId="242498325">
    <w:abstractNumId w:val="25"/>
  </w:num>
  <w:num w:numId="26" w16cid:durableId="1116296022">
    <w:abstractNumId w:val="18"/>
  </w:num>
  <w:num w:numId="27" w16cid:durableId="1010789296">
    <w:abstractNumId w:val="31"/>
  </w:num>
  <w:num w:numId="28" w16cid:durableId="1084453344">
    <w:abstractNumId w:val="29"/>
  </w:num>
  <w:num w:numId="29" w16cid:durableId="1063484064">
    <w:abstractNumId w:val="4"/>
  </w:num>
  <w:num w:numId="30" w16cid:durableId="974407432">
    <w:abstractNumId w:val="2"/>
  </w:num>
  <w:num w:numId="31" w16cid:durableId="1081368822">
    <w:abstractNumId w:val="30"/>
  </w:num>
  <w:num w:numId="32" w16cid:durableId="779884628">
    <w:abstractNumId w:val="22"/>
  </w:num>
  <w:num w:numId="33" w16cid:durableId="1850481273">
    <w:abstractNumId w:val="7"/>
  </w:num>
  <w:num w:numId="34" w16cid:durableId="757101086">
    <w:abstractNumId w:val="13"/>
  </w:num>
  <w:num w:numId="35" w16cid:durableId="1602452962">
    <w:abstractNumId w:val="5"/>
  </w:num>
  <w:num w:numId="36" w16cid:durableId="182256199">
    <w:abstractNumId w:val="11"/>
  </w:num>
  <w:num w:numId="37" w16cid:durableId="1559631079">
    <w:abstractNumId w:val="10"/>
  </w:num>
  <w:num w:numId="38" w16cid:durableId="1279392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45"/>
    <w:rsid w:val="00026820"/>
    <w:rsid w:val="00027F66"/>
    <w:rsid w:val="00041CA9"/>
    <w:rsid w:val="00041F4A"/>
    <w:rsid w:val="0004480A"/>
    <w:rsid w:val="00047BCE"/>
    <w:rsid w:val="0005570D"/>
    <w:rsid w:val="00083D77"/>
    <w:rsid w:val="000847C5"/>
    <w:rsid w:val="000A4482"/>
    <w:rsid w:val="000B6330"/>
    <w:rsid w:val="000C1D84"/>
    <w:rsid w:val="000D0B3D"/>
    <w:rsid w:val="000E23DC"/>
    <w:rsid w:val="00110854"/>
    <w:rsid w:val="00137E77"/>
    <w:rsid w:val="001450DF"/>
    <w:rsid w:val="0019678B"/>
    <w:rsid w:val="001E6468"/>
    <w:rsid w:val="00233F7F"/>
    <w:rsid w:val="002419DA"/>
    <w:rsid w:val="00245C6F"/>
    <w:rsid w:val="002503B1"/>
    <w:rsid w:val="00261FF8"/>
    <w:rsid w:val="002C26C1"/>
    <w:rsid w:val="002F028C"/>
    <w:rsid w:val="002F4714"/>
    <w:rsid w:val="00307430"/>
    <w:rsid w:val="00315481"/>
    <w:rsid w:val="00333103"/>
    <w:rsid w:val="00354A63"/>
    <w:rsid w:val="0037059D"/>
    <w:rsid w:val="003727FD"/>
    <w:rsid w:val="00372C5F"/>
    <w:rsid w:val="00383CCC"/>
    <w:rsid w:val="00396EEE"/>
    <w:rsid w:val="003B1310"/>
    <w:rsid w:val="003B3233"/>
    <w:rsid w:val="003E7D58"/>
    <w:rsid w:val="003F4825"/>
    <w:rsid w:val="00427A59"/>
    <w:rsid w:val="00427B77"/>
    <w:rsid w:val="00430E6A"/>
    <w:rsid w:val="0043346A"/>
    <w:rsid w:val="00450B24"/>
    <w:rsid w:val="00462E14"/>
    <w:rsid w:val="00471148"/>
    <w:rsid w:val="00480A6C"/>
    <w:rsid w:val="004A4D30"/>
    <w:rsid w:val="004F1E46"/>
    <w:rsid w:val="004F6807"/>
    <w:rsid w:val="005033A9"/>
    <w:rsid w:val="00505A92"/>
    <w:rsid w:val="005334BE"/>
    <w:rsid w:val="00537E34"/>
    <w:rsid w:val="00543A1D"/>
    <w:rsid w:val="00544A1E"/>
    <w:rsid w:val="00570F44"/>
    <w:rsid w:val="00573F61"/>
    <w:rsid w:val="00581A56"/>
    <w:rsid w:val="00585EFC"/>
    <w:rsid w:val="0059325B"/>
    <w:rsid w:val="00595453"/>
    <w:rsid w:val="00596B6E"/>
    <w:rsid w:val="005A6CFD"/>
    <w:rsid w:val="005B4F41"/>
    <w:rsid w:val="005C6E7A"/>
    <w:rsid w:val="005D5AAC"/>
    <w:rsid w:val="005D5D88"/>
    <w:rsid w:val="005F1140"/>
    <w:rsid w:val="0060794F"/>
    <w:rsid w:val="00610A43"/>
    <w:rsid w:val="006342F8"/>
    <w:rsid w:val="00636967"/>
    <w:rsid w:val="00651608"/>
    <w:rsid w:val="00686CC1"/>
    <w:rsid w:val="006A159E"/>
    <w:rsid w:val="006B682F"/>
    <w:rsid w:val="006C0A12"/>
    <w:rsid w:val="006C37D9"/>
    <w:rsid w:val="006C4C4C"/>
    <w:rsid w:val="006F1C31"/>
    <w:rsid w:val="00701A94"/>
    <w:rsid w:val="00703111"/>
    <w:rsid w:val="00706321"/>
    <w:rsid w:val="00726D31"/>
    <w:rsid w:val="00742E25"/>
    <w:rsid w:val="00786100"/>
    <w:rsid w:val="007B1205"/>
    <w:rsid w:val="007B7875"/>
    <w:rsid w:val="007D0821"/>
    <w:rsid w:val="007F4FFE"/>
    <w:rsid w:val="00802148"/>
    <w:rsid w:val="00810CA0"/>
    <w:rsid w:val="00827AD3"/>
    <w:rsid w:val="00886E23"/>
    <w:rsid w:val="00887956"/>
    <w:rsid w:val="008916A4"/>
    <w:rsid w:val="00893745"/>
    <w:rsid w:val="008D7BC4"/>
    <w:rsid w:val="00902DAF"/>
    <w:rsid w:val="00920F6F"/>
    <w:rsid w:val="00961627"/>
    <w:rsid w:val="00961C13"/>
    <w:rsid w:val="0096327D"/>
    <w:rsid w:val="00972933"/>
    <w:rsid w:val="00975D3E"/>
    <w:rsid w:val="009B6920"/>
    <w:rsid w:val="009E53D6"/>
    <w:rsid w:val="009F0619"/>
    <w:rsid w:val="009F14EB"/>
    <w:rsid w:val="009F7A57"/>
    <w:rsid w:val="00A06C4F"/>
    <w:rsid w:val="00A21DF8"/>
    <w:rsid w:val="00A4544F"/>
    <w:rsid w:val="00A5069D"/>
    <w:rsid w:val="00A642E3"/>
    <w:rsid w:val="00A90EE7"/>
    <w:rsid w:val="00AA025D"/>
    <w:rsid w:val="00AA0CD5"/>
    <w:rsid w:val="00AB0013"/>
    <w:rsid w:val="00AB3598"/>
    <w:rsid w:val="00AF7D8B"/>
    <w:rsid w:val="00B0541D"/>
    <w:rsid w:val="00B0727E"/>
    <w:rsid w:val="00B149D1"/>
    <w:rsid w:val="00B258F3"/>
    <w:rsid w:val="00B50715"/>
    <w:rsid w:val="00B54689"/>
    <w:rsid w:val="00B65365"/>
    <w:rsid w:val="00B77D19"/>
    <w:rsid w:val="00BA20E8"/>
    <w:rsid w:val="00BB2C7D"/>
    <w:rsid w:val="00BD31AD"/>
    <w:rsid w:val="00BE01C5"/>
    <w:rsid w:val="00C0238D"/>
    <w:rsid w:val="00C320AE"/>
    <w:rsid w:val="00C56762"/>
    <w:rsid w:val="00C719A3"/>
    <w:rsid w:val="00C90720"/>
    <w:rsid w:val="00CD0194"/>
    <w:rsid w:val="00CD35D9"/>
    <w:rsid w:val="00CD7B0C"/>
    <w:rsid w:val="00CF5615"/>
    <w:rsid w:val="00D06C11"/>
    <w:rsid w:val="00D16820"/>
    <w:rsid w:val="00D3689C"/>
    <w:rsid w:val="00D40694"/>
    <w:rsid w:val="00D41F6D"/>
    <w:rsid w:val="00D458A5"/>
    <w:rsid w:val="00D47B2D"/>
    <w:rsid w:val="00D501AA"/>
    <w:rsid w:val="00D51CF4"/>
    <w:rsid w:val="00D56C50"/>
    <w:rsid w:val="00D628DB"/>
    <w:rsid w:val="00D67D3D"/>
    <w:rsid w:val="00D90313"/>
    <w:rsid w:val="00DB12BD"/>
    <w:rsid w:val="00E062CF"/>
    <w:rsid w:val="00E101A8"/>
    <w:rsid w:val="00E15C48"/>
    <w:rsid w:val="00E473C8"/>
    <w:rsid w:val="00E62591"/>
    <w:rsid w:val="00E64330"/>
    <w:rsid w:val="00E6666C"/>
    <w:rsid w:val="00E710F3"/>
    <w:rsid w:val="00E721B9"/>
    <w:rsid w:val="00E72FBC"/>
    <w:rsid w:val="00E90C7E"/>
    <w:rsid w:val="00E97455"/>
    <w:rsid w:val="00EC17A7"/>
    <w:rsid w:val="00EC1AC5"/>
    <w:rsid w:val="00EC1BE6"/>
    <w:rsid w:val="00EE5329"/>
    <w:rsid w:val="00EE77C3"/>
    <w:rsid w:val="00EF1E5D"/>
    <w:rsid w:val="00EF1E8E"/>
    <w:rsid w:val="00F14AAB"/>
    <w:rsid w:val="00F34AB2"/>
    <w:rsid w:val="00F63542"/>
    <w:rsid w:val="00F95197"/>
    <w:rsid w:val="00FA5DE6"/>
    <w:rsid w:val="00FE0F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3CC"/>
  <w15:chartTrackingRefBased/>
  <w15:docId w15:val="{A17DB8E2-4ADB-416B-BAD0-6C15F82B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45"/>
    <w:pPr>
      <w:spacing w:after="160" w:line="259" w:lineRule="auto"/>
    </w:pPr>
    <w:rPr>
      <w:sz w:val="22"/>
      <w:szCs w:val="22"/>
      <w:lang w:val="en-GB"/>
    </w:rPr>
  </w:style>
  <w:style w:type="paragraph" w:styleId="Heading1">
    <w:name w:val="heading 1"/>
    <w:aliases w:val="H1"/>
    <w:basedOn w:val="Normal"/>
    <w:next w:val="Normal"/>
    <w:link w:val="Heading1Char"/>
    <w:uiPriority w:val="3"/>
    <w:qFormat/>
    <w:rsid w:val="00F63542"/>
    <w:pPr>
      <w:keepNext/>
      <w:keepLines/>
      <w:numPr>
        <w:numId w:val="12"/>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3"/>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semiHidden/>
    <w:unhideWhenUsed/>
    <w:rsid w:val="00893745"/>
    <w:pPr>
      <w:keepNext/>
      <w:keepLines/>
      <w:spacing w:before="80" w:after="40"/>
      <w:outlineLvl w:val="4"/>
    </w:pPr>
    <w:rPr>
      <w:rFonts w:eastAsiaTheme="majorEastAsia" w:cstheme="majorBidi"/>
      <w:color w:val="1188A9" w:themeColor="accent1" w:themeShade="BF"/>
    </w:rPr>
  </w:style>
  <w:style w:type="paragraph" w:styleId="Heading6">
    <w:name w:val="heading 6"/>
    <w:basedOn w:val="Normal"/>
    <w:next w:val="Normal"/>
    <w:link w:val="Heading6Char"/>
    <w:uiPriority w:val="9"/>
    <w:semiHidden/>
    <w:unhideWhenUsed/>
    <w:qFormat/>
    <w:rsid w:val="008937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7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7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7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F6354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1"/>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character" w:customStyle="1" w:styleId="Heading5Char">
    <w:name w:val="Heading 5 Char"/>
    <w:basedOn w:val="DefaultParagraphFont"/>
    <w:link w:val="Heading5"/>
    <w:uiPriority w:val="9"/>
    <w:semiHidden/>
    <w:rsid w:val="00893745"/>
    <w:rPr>
      <w:rFonts w:eastAsiaTheme="majorEastAsia" w:cstheme="majorBidi"/>
      <w:color w:val="1188A9" w:themeColor="accent1" w:themeShade="BF"/>
      <w:sz w:val="21"/>
      <w:lang w:val="en-GB"/>
    </w:rPr>
  </w:style>
  <w:style w:type="character" w:customStyle="1" w:styleId="Heading6Char">
    <w:name w:val="Heading 6 Char"/>
    <w:basedOn w:val="DefaultParagraphFont"/>
    <w:link w:val="Heading6"/>
    <w:uiPriority w:val="9"/>
    <w:semiHidden/>
    <w:rsid w:val="00893745"/>
    <w:rPr>
      <w:rFonts w:eastAsiaTheme="majorEastAsia" w:cstheme="majorBidi"/>
      <w:i/>
      <w:iCs/>
      <w:color w:val="595959" w:themeColor="text1" w:themeTint="A6"/>
      <w:sz w:val="21"/>
      <w:lang w:val="en-GB"/>
    </w:rPr>
  </w:style>
  <w:style w:type="character" w:customStyle="1" w:styleId="Heading7Char">
    <w:name w:val="Heading 7 Char"/>
    <w:basedOn w:val="DefaultParagraphFont"/>
    <w:link w:val="Heading7"/>
    <w:uiPriority w:val="9"/>
    <w:semiHidden/>
    <w:rsid w:val="00893745"/>
    <w:rPr>
      <w:rFonts w:eastAsiaTheme="majorEastAsia" w:cstheme="majorBidi"/>
      <w:color w:val="595959" w:themeColor="text1" w:themeTint="A6"/>
      <w:sz w:val="21"/>
      <w:lang w:val="en-GB"/>
    </w:rPr>
  </w:style>
  <w:style w:type="character" w:customStyle="1" w:styleId="Heading8Char">
    <w:name w:val="Heading 8 Char"/>
    <w:basedOn w:val="DefaultParagraphFont"/>
    <w:link w:val="Heading8"/>
    <w:uiPriority w:val="9"/>
    <w:semiHidden/>
    <w:rsid w:val="00893745"/>
    <w:rPr>
      <w:rFonts w:eastAsiaTheme="majorEastAsia" w:cstheme="majorBidi"/>
      <w:i/>
      <w:iCs/>
      <w:color w:val="272727" w:themeColor="text1" w:themeTint="D8"/>
      <w:sz w:val="21"/>
      <w:lang w:val="en-GB"/>
    </w:rPr>
  </w:style>
  <w:style w:type="character" w:customStyle="1" w:styleId="Heading9Char">
    <w:name w:val="Heading 9 Char"/>
    <w:basedOn w:val="DefaultParagraphFont"/>
    <w:link w:val="Heading9"/>
    <w:uiPriority w:val="9"/>
    <w:semiHidden/>
    <w:rsid w:val="00893745"/>
    <w:rPr>
      <w:rFonts w:eastAsiaTheme="majorEastAsia" w:cstheme="majorBidi"/>
      <w:color w:val="272727" w:themeColor="text1" w:themeTint="D8"/>
      <w:sz w:val="21"/>
      <w:lang w:val="en-GB"/>
    </w:rPr>
  </w:style>
  <w:style w:type="paragraph" w:styleId="Subtitle">
    <w:name w:val="Subtitle"/>
    <w:basedOn w:val="Normal"/>
    <w:next w:val="Normal"/>
    <w:link w:val="SubtitleChar"/>
    <w:uiPriority w:val="11"/>
    <w:rsid w:val="00893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74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893745"/>
    <w:pPr>
      <w:spacing w:before="160"/>
      <w:jc w:val="center"/>
    </w:pPr>
    <w:rPr>
      <w:i/>
      <w:iCs/>
      <w:color w:val="404040" w:themeColor="text1" w:themeTint="BF"/>
    </w:rPr>
  </w:style>
  <w:style w:type="character" w:customStyle="1" w:styleId="QuoteChar">
    <w:name w:val="Quote Char"/>
    <w:basedOn w:val="DefaultParagraphFont"/>
    <w:link w:val="Quote"/>
    <w:uiPriority w:val="29"/>
    <w:rsid w:val="00893745"/>
    <w:rPr>
      <w:i/>
      <w:iCs/>
      <w:color w:val="404040" w:themeColor="text1" w:themeTint="BF"/>
      <w:sz w:val="21"/>
      <w:lang w:val="en-GB"/>
    </w:rPr>
  </w:style>
  <w:style w:type="character" w:styleId="IntenseEmphasis">
    <w:name w:val="Intense Emphasis"/>
    <w:basedOn w:val="DefaultParagraphFont"/>
    <w:uiPriority w:val="21"/>
    <w:rsid w:val="00893745"/>
    <w:rPr>
      <w:i/>
      <w:iCs/>
      <w:color w:val="1188A9" w:themeColor="accent1" w:themeShade="BF"/>
    </w:rPr>
  </w:style>
  <w:style w:type="paragraph" w:styleId="IntenseQuote">
    <w:name w:val="Intense Quote"/>
    <w:basedOn w:val="Normal"/>
    <w:next w:val="Normal"/>
    <w:link w:val="IntenseQuoteChar"/>
    <w:uiPriority w:val="30"/>
    <w:rsid w:val="00893745"/>
    <w:pPr>
      <w:pBdr>
        <w:top w:val="single" w:sz="4" w:space="10" w:color="1188A9" w:themeColor="accent1" w:themeShade="BF"/>
        <w:bottom w:val="single" w:sz="4" w:space="10" w:color="1188A9" w:themeColor="accent1" w:themeShade="BF"/>
      </w:pBdr>
      <w:spacing w:before="360" w:after="360"/>
      <w:ind w:left="864" w:right="864"/>
      <w:jc w:val="center"/>
    </w:pPr>
    <w:rPr>
      <w:i/>
      <w:iCs/>
      <w:color w:val="1188A9" w:themeColor="accent1" w:themeShade="BF"/>
    </w:rPr>
  </w:style>
  <w:style w:type="character" w:customStyle="1" w:styleId="IntenseQuoteChar">
    <w:name w:val="Intense Quote Char"/>
    <w:basedOn w:val="DefaultParagraphFont"/>
    <w:link w:val="IntenseQuote"/>
    <w:uiPriority w:val="30"/>
    <w:rsid w:val="00893745"/>
    <w:rPr>
      <w:i/>
      <w:iCs/>
      <w:color w:val="1188A9" w:themeColor="accent1" w:themeShade="BF"/>
      <w:sz w:val="21"/>
      <w:lang w:val="en-GB"/>
    </w:rPr>
  </w:style>
  <w:style w:type="character" w:styleId="IntenseReference">
    <w:name w:val="Intense Reference"/>
    <w:basedOn w:val="DefaultParagraphFont"/>
    <w:uiPriority w:val="32"/>
    <w:rsid w:val="00893745"/>
    <w:rPr>
      <w:b/>
      <w:bCs/>
      <w:smallCaps/>
      <w:color w:val="1188A9" w:themeColor="accent1" w:themeShade="BF"/>
      <w:spacing w:val="5"/>
    </w:rPr>
  </w:style>
  <w:style w:type="paragraph" w:styleId="Revision">
    <w:name w:val="Revision"/>
    <w:hidden/>
    <w:uiPriority w:val="99"/>
    <w:semiHidden/>
    <w:rsid w:val="00E101A8"/>
    <w:pPr>
      <w:spacing w:line="240" w:lineRule="auto"/>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1773745050">
          <w:marLeft w:val="0"/>
          <w:marRight w:val="0"/>
          <w:marTop w:val="0"/>
          <w:marBottom w:val="0"/>
          <w:divBdr>
            <w:top w:val="none" w:sz="0" w:space="0" w:color="auto"/>
            <w:left w:val="none" w:sz="0" w:space="0" w:color="auto"/>
            <w:bottom w:val="none" w:sz="0" w:space="0" w:color="auto"/>
            <w:right w:val="none" w:sz="0" w:space="0" w:color="auto"/>
          </w:divBdr>
        </w:div>
        <w:div w:id="657540767">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dfc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ohnven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A586CDD05DAA429382CADA08215026" ma:contentTypeVersion="14" ma:contentTypeDescription="Create a new document." ma:contentTypeScope="" ma:versionID="91c32d7d4c7ca5f531aa9a4a6fb28fb4">
  <xsd:schema xmlns:xsd="http://www.w3.org/2001/XMLSchema" xmlns:xs="http://www.w3.org/2001/XMLSchema" xmlns:p="http://schemas.microsoft.com/office/2006/metadata/properties" xmlns:ns2="c0ed135a-4a4b-4664-b919-354e05a863d7" xmlns:ns3="e387ade4-6730-4aab-9d7a-b895e19528e3" targetNamespace="http://schemas.microsoft.com/office/2006/metadata/properties" ma:root="true" ma:fieldsID="0ed853c73fd0e224ce6d4ebb7d9f4ace" ns2:_="" ns3:_="">
    <xsd:import namespace="c0ed135a-4a4b-4664-b919-354e05a863d7"/>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d135a-4a4b-4664-b919-354e05a86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5f79ef-2a5e-48b5-bd2e-a0b64f55837a}" ma:internalName="TaxCatchAll" ma:showField="CatchAllData" ma:web="219852b0-7a7e-41a8-98f6-a4d1651bc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c0ed135a-4a4b-4664-b919-354e05a86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2.xml><?xml version="1.0" encoding="utf-8"?>
<ds:datastoreItem xmlns:ds="http://schemas.openxmlformats.org/officeDocument/2006/customXml" ds:itemID="{DC1D6A0E-153A-4B8A-8464-AB4ABB243488}">
  <ds:schemaRefs>
    <ds:schemaRef ds:uri="Microsoft.SharePoint.Taxonomy.ContentTypeSync"/>
  </ds:schemaRefs>
</ds:datastoreItem>
</file>

<file path=customXml/itemProps3.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4.xml><?xml version="1.0" encoding="utf-8"?>
<ds:datastoreItem xmlns:ds="http://schemas.openxmlformats.org/officeDocument/2006/customXml" ds:itemID="{9B246371-D0B3-4DB5-91C8-2E7C1E8C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d135a-4a4b-4664-b919-354e05a863d7"/>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8DDF6-B456-4A93-8C68-8F4E6FBD3849}">
  <ds:schemaRefs>
    <ds:schemaRef ds:uri="http://schemas.microsoft.com/office/2006/metadata/properties"/>
    <ds:schemaRef ds:uri="http://schemas.microsoft.com/office/infopath/2007/PartnerControls"/>
    <ds:schemaRef ds:uri="e387ade4-6730-4aab-9d7a-b895e19528e3"/>
    <ds:schemaRef ds:uri="c0ed135a-4a4b-4664-b919-354e05a863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Olanipekun, Omotayo Emmanuel</dc:creator>
  <cp:keywords/>
  <dc:description/>
  <cp:lastModifiedBy>Olanipekun, Omotayo Emmanuel</cp:lastModifiedBy>
  <cp:revision>3</cp:revision>
  <dcterms:created xsi:type="dcterms:W3CDTF">2025-05-12T14:11:00Z</dcterms:created>
  <dcterms:modified xsi:type="dcterms:W3CDTF">2025-05-12T14:13:00Z</dcterms:modified>
</cp:coreProperties>
</file>